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FDA" w:rsidRPr="00362F59" w:rsidRDefault="00781FDA" w:rsidP="00594E19">
      <w:pPr>
        <w:tabs>
          <w:tab w:val="left" w:pos="426"/>
        </w:tabs>
        <w:spacing w:line="480" w:lineRule="exact"/>
        <w:jc w:val="center"/>
        <w:rPr>
          <w:rFonts w:ascii="標楷體" w:eastAsia="標楷體" w:hAnsi="標楷體"/>
          <w:sz w:val="28"/>
          <w:szCs w:val="28"/>
        </w:rPr>
      </w:pPr>
      <w:r w:rsidRPr="00362F59">
        <w:rPr>
          <w:rFonts w:ascii="標楷體" w:eastAsia="標楷體" w:hAnsi="標楷體" w:hint="eastAsia"/>
          <w:sz w:val="28"/>
          <w:szCs w:val="28"/>
        </w:rPr>
        <w:t>臺東縣稅務局清理欠稅案件獎懲審核要點</w:t>
      </w:r>
    </w:p>
    <w:p w:rsidR="00781FDA" w:rsidRPr="00362F59" w:rsidRDefault="00781FDA" w:rsidP="00362F59">
      <w:pPr>
        <w:spacing w:line="480" w:lineRule="exact"/>
        <w:rPr>
          <w:rFonts w:ascii="標楷體" w:eastAsia="標楷體" w:hAnsi="標楷體"/>
          <w:sz w:val="28"/>
          <w:szCs w:val="28"/>
        </w:rPr>
      </w:pPr>
    </w:p>
    <w:p w:rsidR="00781FDA" w:rsidRPr="00362F59" w:rsidRDefault="00781FDA" w:rsidP="00362F59">
      <w:pPr>
        <w:spacing w:line="480" w:lineRule="exact"/>
        <w:jc w:val="right"/>
        <w:rPr>
          <w:rFonts w:ascii="標楷體" w:eastAsia="標楷體" w:hAnsi="標楷體"/>
          <w:color w:val="FF0000"/>
          <w:sz w:val="28"/>
          <w:szCs w:val="28"/>
        </w:rPr>
      </w:pPr>
      <w:r w:rsidRPr="00362F59">
        <w:rPr>
          <w:rFonts w:ascii="標楷體" w:eastAsia="標楷體" w:hAnsi="標楷體"/>
          <w:color w:val="FF0000"/>
          <w:sz w:val="28"/>
          <w:szCs w:val="28"/>
        </w:rPr>
        <w:t>106</w:t>
      </w:r>
      <w:r w:rsidRPr="00362F59">
        <w:rPr>
          <w:rFonts w:ascii="標楷體" w:eastAsia="標楷體" w:hAnsi="標楷體" w:hint="eastAsia"/>
          <w:color w:val="FF0000"/>
          <w:sz w:val="28"/>
          <w:szCs w:val="28"/>
        </w:rPr>
        <w:t>年</w:t>
      </w:r>
      <w:r w:rsidRPr="00362F59">
        <w:rPr>
          <w:rFonts w:ascii="標楷體" w:eastAsia="標楷體" w:hAnsi="標楷體"/>
          <w:color w:val="FF0000"/>
          <w:sz w:val="28"/>
          <w:szCs w:val="28"/>
        </w:rPr>
        <w:t>1</w:t>
      </w:r>
      <w:r w:rsidR="00C15FE4">
        <w:rPr>
          <w:rFonts w:ascii="標楷體" w:eastAsia="標楷體" w:hAnsi="標楷體" w:hint="eastAsia"/>
          <w:color w:val="FF0000"/>
          <w:sz w:val="28"/>
          <w:szCs w:val="28"/>
        </w:rPr>
        <w:t>1</w:t>
      </w:r>
      <w:r w:rsidRPr="00362F59">
        <w:rPr>
          <w:rFonts w:ascii="標楷體" w:eastAsia="標楷體" w:hAnsi="標楷體" w:hint="eastAsia"/>
          <w:color w:val="FF0000"/>
          <w:sz w:val="28"/>
          <w:szCs w:val="28"/>
        </w:rPr>
        <w:t>月</w:t>
      </w:r>
      <w:r w:rsidR="00DC126A">
        <w:rPr>
          <w:rFonts w:ascii="標楷體" w:eastAsia="標楷體" w:hAnsi="標楷體"/>
          <w:color w:val="FF0000"/>
          <w:sz w:val="28"/>
          <w:szCs w:val="28"/>
        </w:rPr>
        <w:t>14</w:t>
      </w:r>
      <w:r w:rsidRPr="00362F59">
        <w:rPr>
          <w:rFonts w:ascii="標楷體" w:eastAsia="標楷體" w:hAnsi="標楷體" w:hint="eastAsia"/>
          <w:color w:val="FF0000"/>
          <w:sz w:val="28"/>
          <w:szCs w:val="28"/>
        </w:rPr>
        <w:t>日修正</w:t>
      </w:r>
    </w:p>
    <w:p w:rsidR="00781FDA" w:rsidRPr="00362F59" w:rsidRDefault="00781FDA" w:rsidP="00594E19">
      <w:pPr>
        <w:pStyle w:val="a3"/>
        <w:numPr>
          <w:ilvl w:val="0"/>
          <w:numId w:val="1"/>
        </w:numPr>
        <w:tabs>
          <w:tab w:val="left" w:pos="709"/>
        </w:tabs>
        <w:spacing w:line="480" w:lineRule="exact"/>
        <w:ind w:leftChars="0" w:left="709" w:hanging="709"/>
        <w:jc w:val="both"/>
        <w:rPr>
          <w:rFonts w:ascii="標楷體" w:eastAsia="標楷體" w:hAnsi="標楷體"/>
          <w:sz w:val="28"/>
          <w:szCs w:val="28"/>
        </w:rPr>
      </w:pPr>
      <w:r w:rsidRPr="00362F59">
        <w:rPr>
          <w:rFonts w:ascii="標楷體" w:eastAsia="標楷體" w:hAnsi="標楷體" w:hint="eastAsia"/>
          <w:sz w:val="28"/>
          <w:szCs w:val="28"/>
        </w:rPr>
        <w:t>臺東縣稅務局為期達到公平納稅，維護優良納稅風氣，並養成同仁積極負責態度，以減少欠稅增裕庫收，依據財政部函頒「財政部稅務人員獎懲</w:t>
      </w:r>
      <w:r w:rsidR="004731A6">
        <w:rPr>
          <w:rFonts w:ascii="標楷體" w:eastAsia="標楷體" w:hAnsi="標楷體" w:hint="eastAsia"/>
          <w:sz w:val="28"/>
          <w:szCs w:val="28"/>
        </w:rPr>
        <w:t>要點」及「稅捐稽徵機關清理欠稅作業要點」</w:t>
      </w:r>
      <w:r w:rsidRPr="00362F59">
        <w:rPr>
          <w:rFonts w:ascii="標楷體" w:eastAsia="標楷體" w:hAnsi="標楷體" w:hint="eastAsia"/>
          <w:sz w:val="28"/>
          <w:szCs w:val="28"/>
        </w:rPr>
        <w:t>之規定訂定本要點。</w:t>
      </w:r>
    </w:p>
    <w:p w:rsidR="00781FDA" w:rsidRPr="00362F59" w:rsidRDefault="00781FDA" w:rsidP="00594E19">
      <w:pPr>
        <w:pStyle w:val="a3"/>
        <w:numPr>
          <w:ilvl w:val="0"/>
          <w:numId w:val="1"/>
        </w:numPr>
        <w:tabs>
          <w:tab w:val="left" w:pos="709"/>
        </w:tabs>
        <w:spacing w:line="480" w:lineRule="exact"/>
        <w:ind w:leftChars="0" w:left="709" w:hanging="709"/>
        <w:jc w:val="both"/>
        <w:rPr>
          <w:rFonts w:ascii="標楷體" w:eastAsia="標楷體" w:hAnsi="標楷體"/>
          <w:sz w:val="28"/>
          <w:szCs w:val="28"/>
        </w:rPr>
      </w:pPr>
      <w:r w:rsidRPr="00362F59">
        <w:rPr>
          <w:rFonts w:ascii="標楷體" w:eastAsia="標楷體" w:hAnsi="標楷體" w:hint="eastAsia"/>
          <w:sz w:val="28"/>
          <w:szCs w:val="28"/>
        </w:rPr>
        <w:t>獎懲對象</w:t>
      </w:r>
      <w:r w:rsidR="004731A6">
        <w:rPr>
          <w:rFonts w:ascii="標楷體" w:eastAsia="標楷體" w:hAnsi="標楷體" w:hint="eastAsia"/>
          <w:sz w:val="28"/>
          <w:szCs w:val="28"/>
        </w:rPr>
        <w:t>如下</w:t>
      </w:r>
      <w:r w:rsidRPr="00362F59">
        <w:rPr>
          <w:rFonts w:ascii="標楷體" w:eastAsia="標楷體" w:hAnsi="標楷體"/>
          <w:sz w:val="28"/>
          <w:szCs w:val="28"/>
        </w:rPr>
        <w:t>:</w:t>
      </w:r>
    </w:p>
    <w:p w:rsidR="00781FDA" w:rsidRPr="00362F59" w:rsidRDefault="00781FDA" w:rsidP="00594E19">
      <w:pPr>
        <w:pStyle w:val="a3"/>
        <w:numPr>
          <w:ilvl w:val="0"/>
          <w:numId w:val="3"/>
        </w:numPr>
        <w:spacing w:line="480" w:lineRule="exact"/>
        <w:ind w:leftChars="0" w:left="851"/>
        <w:jc w:val="both"/>
        <w:rPr>
          <w:rFonts w:ascii="標楷體" w:eastAsia="標楷體" w:hAnsi="標楷體"/>
          <w:sz w:val="28"/>
          <w:szCs w:val="28"/>
        </w:rPr>
      </w:pPr>
      <w:r w:rsidRPr="00362F59">
        <w:rPr>
          <w:rFonts w:ascii="標楷體" w:eastAsia="標楷體" w:hAnsi="標楷體" w:hint="eastAsia"/>
          <w:sz w:val="28"/>
          <w:szCs w:val="28"/>
        </w:rPr>
        <w:t>主辦清理欠稅之實際出力人員。</w:t>
      </w:r>
    </w:p>
    <w:p w:rsidR="00781FDA" w:rsidRPr="00362F59" w:rsidRDefault="00781FDA" w:rsidP="00594E19">
      <w:pPr>
        <w:pStyle w:val="a3"/>
        <w:numPr>
          <w:ilvl w:val="0"/>
          <w:numId w:val="3"/>
        </w:numPr>
        <w:spacing w:line="480" w:lineRule="exact"/>
        <w:ind w:leftChars="0" w:left="851"/>
        <w:jc w:val="both"/>
        <w:rPr>
          <w:rFonts w:ascii="標楷體" w:eastAsia="標楷體" w:hAnsi="標楷體"/>
          <w:sz w:val="28"/>
          <w:szCs w:val="28"/>
        </w:rPr>
      </w:pPr>
      <w:r w:rsidRPr="00362F59">
        <w:rPr>
          <w:rFonts w:ascii="標楷體" w:eastAsia="標楷體" w:hAnsi="標楷體" w:hint="eastAsia"/>
          <w:sz w:val="28"/>
          <w:szCs w:val="28"/>
        </w:rPr>
        <w:t>協辦清理欠稅之實際出力人員。</w:t>
      </w:r>
    </w:p>
    <w:p w:rsidR="00781FDA" w:rsidRPr="00362F59" w:rsidRDefault="00781FDA" w:rsidP="00594E19">
      <w:pPr>
        <w:pStyle w:val="a3"/>
        <w:numPr>
          <w:ilvl w:val="0"/>
          <w:numId w:val="3"/>
        </w:numPr>
        <w:spacing w:line="480" w:lineRule="exact"/>
        <w:ind w:leftChars="0" w:left="851"/>
        <w:jc w:val="both"/>
        <w:rPr>
          <w:rFonts w:ascii="標楷體" w:eastAsia="標楷體" w:hAnsi="標楷體"/>
          <w:sz w:val="28"/>
          <w:szCs w:val="28"/>
        </w:rPr>
      </w:pPr>
      <w:r w:rsidRPr="00362F59">
        <w:rPr>
          <w:rFonts w:ascii="標楷體" w:eastAsia="標楷體" w:hAnsi="標楷體" w:hint="eastAsia"/>
          <w:sz w:val="28"/>
          <w:szCs w:val="28"/>
        </w:rPr>
        <w:t>擔任策劃督導實際出力之股長、科長。</w:t>
      </w:r>
    </w:p>
    <w:p w:rsidR="00781FDA" w:rsidRPr="00362F59" w:rsidRDefault="00781FDA" w:rsidP="00594E19">
      <w:pPr>
        <w:pStyle w:val="a3"/>
        <w:numPr>
          <w:ilvl w:val="0"/>
          <w:numId w:val="1"/>
        </w:numPr>
        <w:tabs>
          <w:tab w:val="left" w:pos="709"/>
        </w:tabs>
        <w:spacing w:line="480" w:lineRule="exact"/>
        <w:ind w:leftChars="0" w:left="709" w:hanging="709"/>
        <w:jc w:val="both"/>
        <w:rPr>
          <w:rFonts w:ascii="標楷體" w:eastAsia="標楷體" w:hAnsi="標楷體"/>
          <w:sz w:val="28"/>
          <w:szCs w:val="28"/>
        </w:rPr>
      </w:pPr>
      <w:r w:rsidRPr="00362F59">
        <w:rPr>
          <w:rFonts w:ascii="標楷體" w:eastAsia="標楷體" w:hAnsi="標楷體" w:hint="eastAsia"/>
          <w:sz w:val="28"/>
          <w:szCs w:val="28"/>
        </w:rPr>
        <w:t>獎勵期間</w:t>
      </w:r>
      <w:r w:rsidR="004731A6">
        <w:rPr>
          <w:rFonts w:ascii="標楷體" w:eastAsia="標楷體" w:hAnsi="標楷體" w:hint="eastAsia"/>
          <w:sz w:val="28"/>
          <w:szCs w:val="28"/>
        </w:rPr>
        <w:t>如下</w:t>
      </w:r>
      <w:r w:rsidRPr="00362F59">
        <w:rPr>
          <w:rFonts w:ascii="標楷體" w:eastAsia="標楷體" w:hAnsi="標楷體" w:hint="eastAsia"/>
          <w:sz w:val="28"/>
          <w:szCs w:val="28"/>
        </w:rPr>
        <w:t>：</w:t>
      </w:r>
    </w:p>
    <w:p w:rsidR="00781FDA" w:rsidRPr="00362F59" w:rsidRDefault="00781FDA" w:rsidP="00594E19">
      <w:pPr>
        <w:pStyle w:val="a3"/>
        <w:numPr>
          <w:ilvl w:val="0"/>
          <w:numId w:val="4"/>
        </w:numPr>
        <w:spacing w:line="480" w:lineRule="exact"/>
        <w:ind w:leftChars="0" w:left="851"/>
        <w:jc w:val="both"/>
        <w:rPr>
          <w:rFonts w:ascii="標楷體" w:eastAsia="標楷體" w:hAnsi="標楷體"/>
          <w:sz w:val="28"/>
          <w:szCs w:val="28"/>
        </w:rPr>
      </w:pPr>
      <w:r w:rsidRPr="00362F59">
        <w:rPr>
          <w:rFonts w:ascii="標楷體" w:eastAsia="標楷體" w:hAnsi="標楷體" w:hint="eastAsia"/>
          <w:sz w:val="28"/>
          <w:szCs w:val="28"/>
        </w:rPr>
        <w:t>承辦人員：依其承辦案件適時檢討辦理獎勵。</w:t>
      </w:r>
    </w:p>
    <w:p w:rsidR="00781FDA" w:rsidRPr="00362F59" w:rsidRDefault="00781FDA" w:rsidP="00594E19">
      <w:pPr>
        <w:pStyle w:val="a3"/>
        <w:numPr>
          <w:ilvl w:val="0"/>
          <w:numId w:val="4"/>
        </w:numPr>
        <w:spacing w:line="480" w:lineRule="exact"/>
        <w:ind w:leftChars="0" w:left="851"/>
        <w:jc w:val="both"/>
        <w:rPr>
          <w:rFonts w:ascii="標楷體" w:eastAsia="標楷體" w:hAnsi="標楷體"/>
          <w:sz w:val="28"/>
          <w:szCs w:val="28"/>
        </w:rPr>
      </w:pPr>
      <w:r w:rsidRPr="00362F59">
        <w:rPr>
          <w:rFonts w:ascii="標楷體" w:eastAsia="標楷體" w:hAnsi="標楷體" w:hint="eastAsia"/>
          <w:sz w:val="28"/>
          <w:szCs w:val="28"/>
        </w:rPr>
        <w:t>督導人員以每年</w:t>
      </w:r>
      <w:r w:rsidR="00C15FE4">
        <w:rPr>
          <w:rFonts w:ascii="標楷體" w:eastAsia="標楷體" w:hAnsi="標楷體" w:hint="eastAsia"/>
          <w:sz w:val="28"/>
          <w:szCs w:val="28"/>
        </w:rPr>
        <w:t>一</w:t>
      </w:r>
      <w:r w:rsidRPr="00362F59">
        <w:rPr>
          <w:rFonts w:ascii="標楷體" w:eastAsia="標楷體" w:hAnsi="標楷體" w:hint="eastAsia"/>
          <w:sz w:val="28"/>
          <w:szCs w:val="28"/>
        </w:rPr>
        <w:t>月及</w:t>
      </w:r>
      <w:r w:rsidR="00C15FE4">
        <w:rPr>
          <w:rFonts w:ascii="標楷體" w:eastAsia="標楷體" w:hAnsi="標楷體" w:hint="eastAsia"/>
          <w:sz w:val="28"/>
          <w:szCs w:val="28"/>
        </w:rPr>
        <w:t>七</w:t>
      </w:r>
      <w:r w:rsidRPr="00362F59">
        <w:rPr>
          <w:rFonts w:ascii="標楷體" w:eastAsia="標楷體" w:hAnsi="標楷體" w:hint="eastAsia"/>
          <w:sz w:val="28"/>
          <w:szCs w:val="28"/>
        </w:rPr>
        <w:t>月各辦理獎勵一次。（以屬員核定發佈敘獎令之日期為基準日）</w:t>
      </w:r>
    </w:p>
    <w:p w:rsidR="00781FDA" w:rsidRPr="00362F59" w:rsidRDefault="00781FDA" w:rsidP="00594E19">
      <w:pPr>
        <w:pStyle w:val="a3"/>
        <w:numPr>
          <w:ilvl w:val="0"/>
          <w:numId w:val="1"/>
        </w:numPr>
        <w:tabs>
          <w:tab w:val="left" w:pos="709"/>
        </w:tabs>
        <w:spacing w:line="480" w:lineRule="exact"/>
        <w:ind w:leftChars="0" w:left="709" w:hanging="709"/>
        <w:jc w:val="both"/>
        <w:rPr>
          <w:rFonts w:ascii="標楷體" w:eastAsia="標楷體" w:hAnsi="標楷體"/>
          <w:sz w:val="28"/>
          <w:szCs w:val="28"/>
        </w:rPr>
      </w:pPr>
      <w:r w:rsidRPr="00362F59">
        <w:rPr>
          <w:rFonts w:ascii="標楷體" w:eastAsia="標楷體" w:hAnsi="標楷體" w:hint="eastAsia"/>
          <w:sz w:val="28"/>
          <w:szCs w:val="28"/>
        </w:rPr>
        <w:t>獎勵條件與標準如下：</w:t>
      </w:r>
    </w:p>
    <w:p w:rsidR="00781FDA" w:rsidRPr="00362F59" w:rsidRDefault="00781FDA" w:rsidP="00594E19">
      <w:pPr>
        <w:pStyle w:val="a3"/>
        <w:numPr>
          <w:ilvl w:val="0"/>
          <w:numId w:val="5"/>
        </w:numPr>
        <w:spacing w:line="480" w:lineRule="exact"/>
        <w:ind w:leftChars="0" w:left="851"/>
        <w:jc w:val="both"/>
        <w:rPr>
          <w:rFonts w:ascii="標楷體" w:eastAsia="標楷體" w:hAnsi="標楷體"/>
          <w:sz w:val="28"/>
          <w:szCs w:val="28"/>
        </w:rPr>
      </w:pPr>
      <w:r w:rsidRPr="00362F59">
        <w:rPr>
          <w:rFonts w:ascii="標楷體" w:eastAsia="標楷體" w:hAnsi="標楷體" w:hint="eastAsia"/>
          <w:sz w:val="28"/>
          <w:szCs w:val="28"/>
        </w:rPr>
        <w:t>獎勵條件：</w:t>
      </w:r>
    </w:p>
    <w:p w:rsidR="00781FDA" w:rsidRPr="00362F59" w:rsidRDefault="00781FDA" w:rsidP="008E41F4">
      <w:pPr>
        <w:pStyle w:val="a3"/>
        <w:numPr>
          <w:ilvl w:val="0"/>
          <w:numId w:val="6"/>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承辦人員部份：</w:t>
      </w:r>
    </w:p>
    <w:p w:rsidR="00781FDA" w:rsidRPr="00362F59" w:rsidRDefault="00781FDA" w:rsidP="008E41F4">
      <w:pPr>
        <w:pStyle w:val="a3"/>
        <w:numPr>
          <w:ilvl w:val="0"/>
          <w:numId w:val="7"/>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凡徵起已逾滯納期限之同一納稅義務人欠稅（包括本稅、罰鍰</w:t>
      </w:r>
      <w:r>
        <w:rPr>
          <w:rFonts w:ascii="標楷體" w:eastAsia="標楷體" w:hAnsi="標楷體" w:hint="eastAsia"/>
          <w:sz w:val="28"/>
          <w:szCs w:val="28"/>
        </w:rPr>
        <w:t>、</w:t>
      </w:r>
      <w:r w:rsidRPr="00362F59">
        <w:rPr>
          <w:rFonts w:ascii="標楷體" w:eastAsia="標楷體" w:hAnsi="標楷體" w:hint="eastAsia"/>
          <w:sz w:val="28"/>
          <w:szCs w:val="28"/>
        </w:rPr>
        <w:t>滯納金、利息及教育捐）</w:t>
      </w:r>
      <w:r w:rsidR="004731A6">
        <w:rPr>
          <w:rFonts w:ascii="標楷體" w:eastAsia="標楷體" w:hAnsi="標楷體" w:hint="eastAsia"/>
          <w:sz w:val="28"/>
          <w:szCs w:val="28"/>
        </w:rPr>
        <w:t>，</w:t>
      </w:r>
      <w:r w:rsidRPr="00362F59">
        <w:rPr>
          <w:rFonts w:ascii="標楷體" w:eastAsia="標楷體" w:hAnsi="標楷體" w:hint="eastAsia"/>
          <w:sz w:val="28"/>
          <w:szCs w:val="28"/>
        </w:rPr>
        <w:t>且已達到敘獎標準表內之標準者。</w:t>
      </w:r>
    </w:p>
    <w:p w:rsidR="00781FDA" w:rsidRPr="00362F59" w:rsidRDefault="00781FDA" w:rsidP="008E41F4">
      <w:pPr>
        <w:pStyle w:val="a3"/>
        <w:numPr>
          <w:ilvl w:val="0"/>
          <w:numId w:val="7"/>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凡徵起經行政執行處執行後准予分期繳納（含執行命令）案件，應於最後一期到期後，始可辦理敘獎</w:t>
      </w:r>
      <w:r w:rsidR="004731A6">
        <w:rPr>
          <w:rFonts w:ascii="標楷體" w:eastAsia="標楷體" w:hAnsi="標楷體" w:hint="eastAsia"/>
          <w:sz w:val="28"/>
          <w:szCs w:val="28"/>
        </w:rPr>
        <w:t>。</w:t>
      </w:r>
      <w:r w:rsidRPr="00362F59">
        <w:rPr>
          <w:rFonts w:ascii="標楷體" w:eastAsia="標楷體" w:hAnsi="標楷體" w:hint="eastAsia"/>
          <w:sz w:val="28"/>
          <w:szCs w:val="28"/>
        </w:rPr>
        <w:t>惟應受敘獎人，如因職務異動時，得就同一納稅義務人，分期繳納總金額達到敘獎標準者，先行報請敘獎，至其餘部分再徵起時，不得再報請敘獎。</w:t>
      </w:r>
    </w:p>
    <w:p w:rsidR="00781FDA" w:rsidRPr="00362F59" w:rsidRDefault="00781FDA" w:rsidP="008E41F4">
      <w:pPr>
        <w:pStyle w:val="a3"/>
        <w:numPr>
          <w:ilvl w:val="0"/>
          <w:numId w:val="7"/>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達到前二目敘獎標準者，每案以一人敘獎為原則，最高不得超過二人，惟因案情特殊，且徵起金額超過最高敘獎標準二分之一以上，每案敘獎人數不得超過三人。</w:t>
      </w:r>
    </w:p>
    <w:p w:rsidR="00781FDA" w:rsidRPr="00362F59" w:rsidRDefault="00781FDA" w:rsidP="008E41F4">
      <w:pPr>
        <w:pStyle w:val="a3"/>
        <w:numPr>
          <w:ilvl w:val="0"/>
          <w:numId w:val="6"/>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督導人員部分：</w:t>
      </w:r>
    </w:p>
    <w:p w:rsidR="00781FDA" w:rsidRPr="00362F59" w:rsidRDefault="00781FDA" w:rsidP="008E41F4">
      <w:pPr>
        <w:pStyle w:val="a3"/>
        <w:numPr>
          <w:ilvl w:val="0"/>
          <w:numId w:val="8"/>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督辦清理欠稅業務之股長、</w:t>
      </w:r>
      <w:r>
        <w:rPr>
          <w:rFonts w:ascii="標楷體" w:eastAsia="標楷體" w:hAnsi="標楷體" w:hint="eastAsia"/>
          <w:sz w:val="28"/>
          <w:szCs w:val="28"/>
        </w:rPr>
        <w:t>科長</w:t>
      </w:r>
      <w:r w:rsidRPr="00362F59">
        <w:rPr>
          <w:rFonts w:ascii="標楷體" w:eastAsia="標楷體" w:hAnsi="標楷體" w:hint="eastAsia"/>
          <w:sz w:val="28"/>
          <w:szCs w:val="28"/>
        </w:rPr>
        <w:t>以轄內同一獎勵期間，經核定之徵起欠稅敘獎案件達三案以上者，以實際出力人員敘獎令中最高獎度辦理核獎，至未達三案者降一級敘獎。但最高獎度僅嘉獎一次者，則不予敘獎。</w:t>
      </w:r>
    </w:p>
    <w:p w:rsidR="00781FDA" w:rsidRPr="00362F59" w:rsidRDefault="00781FDA" w:rsidP="008E41F4">
      <w:pPr>
        <w:pStyle w:val="a3"/>
        <w:numPr>
          <w:ilvl w:val="0"/>
          <w:numId w:val="8"/>
        </w:numPr>
        <w:spacing w:line="480" w:lineRule="exact"/>
        <w:ind w:leftChars="0"/>
        <w:jc w:val="both"/>
        <w:rPr>
          <w:rFonts w:ascii="標楷體" w:eastAsia="標楷體" w:hAnsi="標楷體"/>
          <w:sz w:val="28"/>
          <w:szCs w:val="28"/>
        </w:rPr>
      </w:pPr>
      <w:r>
        <w:rPr>
          <w:rFonts w:ascii="標楷體" w:eastAsia="標楷體" w:hAnsi="標楷體" w:hint="eastAsia"/>
          <w:sz w:val="28"/>
          <w:szCs w:val="28"/>
        </w:rPr>
        <w:t>股長、科長</w:t>
      </w:r>
      <w:r w:rsidRPr="00362F59">
        <w:rPr>
          <w:rFonts w:ascii="標楷體" w:eastAsia="標楷體" w:hAnsi="標楷體" w:hint="eastAsia"/>
          <w:sz w:val="28"/>
          <w:szCs w:val="28"/>
        </w:rPr>
        <w:t>經獨力承辦徵起之案件，確具事證，得依前點第二款規定之獎勵標準規定核獎</w:t>
      </w:r>
      <w:r w:rsidR="004731A6">
        <w:rPr>
          <w:rFonts w:ascii="標楷體" w:eastAsia="標楷體" w:hAnsi="標楷體" w:hint="eastAsia"/>
          <w:sz w:val="28"/>
          <w:szCs w:val="28"/>
        </w:rPr>
        <w:t>，</w:t>
      </w:r>
      <w:r w:rsidRPr="00362F59">
        <w:rPr>
          <w:rFonts w:ascii="標楷體" w:eastAsia="標楷體" w:hAnsi="標楷體" w:hint="eastAsia"/>
          <w:sz w:val="28"/>
          <w:szCs w:val="28"/>
        </w:rPr>
        <w:t>惟不得重複併計。</w:t>
      </w:r>
    </w:p>
    <w:p w:rsidR="00781FDA" w:rsidRPr="00362F59" w:rsidRDefault="00781FDA" w:rsidP="008E41F4">
      <w:pPr>
        <w:pStyle w:val="a3"/>
        <w:numPr>
          <w:ilvl w:val="0"/>
          <w:numId w:val="8"/>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lastRenderedPageBreak/>
        <w:t>督辦清理欠稅業務之</w:t>
      </w:r>
      <w:r>
        <w:rPr>
          <w:rFonts w:ascii="標楷體" w:eastAsia="標楷體" w:hAnsi="標楷體" w:hint="eastAsia"/>
          <w:sz w:val="28"/>
          <w:szCs w:val="28"/>
        </w:rPr>
        <w:t>股長、科長</w:t>
      </w:r>
      <w:r w:rsidRPr="00362F59">
        <w:rPr>
          <w:rFonts w:ascii="標楷體" w:eastAsia="標楷體" w:hAnsi="標楷體" w:hint="eastAsia"/>
          <w:sz w:val="28"/>
          <w:szCs w:val="28"/>
        </w:rPr>
        <w:t>如發生職務異動時得先行依本要點辦理敘獎，接任人員自到職之日起依屬員所簽報之敘獎案件並經發佈者依本要點之規定辦理。</w:t>
      </w:r>
    </w:p>
    <w:p w:rsidR="00781FDA" w:rsidRPr="00362F59" w:rsidRDefault="00781FDA" w:rsidP="00594E19">
      <w:pPr>
        <w:pStyle w:val="a3"/>
        <w:numPr>
          <w:ilvl w:val="0"/>
          <w:numId w:val="5"/>
        </w:numPr>
        <w:spacing w:line="480" w:lineRule="exact"/>
        <w:ind w:leftChars="0" w:left="851"/>
        <w:jc w:val="both"/>
        <w:rPr>
          <w:rFonts w:ascii="標楷體" w:eastAsia="標楷體" w:hAnsi="標楷體"/>
          <w:sz w:val="28"/>
          <w:szCs w:val="28"/>
        </w:rPr>
      </w:pPr>
      <w:r w:rsidRPr="00362F59">
        <w:rPr>
          <w:rFonts w:ascii="標楷體" w:eastAsia="標楷體" w:hAnsi="標楷體" w:hint="eastAsia"/>
          <w:sz w:val="28"/>
          <w:szCs w:val="28"/>
        </w:rPr>
        <w:t>獎勵標準：</w:t>
      </w:r>
    </w:p>
    <w:p w:rsidR="00781FDA" w:rsidRDefault="00781FDA" w:rsidP="008E41F4">
      <w:pPr>
        <w:pStyle w:val="a3"/>
        <w:numPr>
          <w:ilvl w:val="0"/>
          <w:numId w:val="9"/>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金額：</w:t>
      </w:r>
    </w:p>
    <w:tbl>
      <w:tblPr>
        <w:tblpPr w:leftFromText="180" w:rightFromText="180" w:vertAnchor="text" w:horzAnchor="page" w:tblpX="2173" w:tblpY="12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76"/>
        <w:gridCol w:w="2126"/>
        <w:gridCol w:w="2551"/>
        <w:gridCol w:w="2552"/>
      </w:tblGrid>
      <w:tr w:rsidR="00781FDA" w:rsidRPr="003C3A37" w:rsidTr="00E12C7A">
        <w:trPr>
          <w:trHeight w:val="767"/>
        </w:trPr>
        <w:tc>
          <w:tcPr>
            <w:tcW w:w="1276" w:type="dxa"/>
            <w:tcBorders>
              <w:top w:val="single" w:sz="12" w:space="0" w:color="auto"/>
            </w:tcBorders>
            <w:tcMar>
              <w:top w:w="0" w:type="dxa"/>
              <w:left w:w="108" w:type="dxa"/>
              <w:bottom w:w="0" w:type="dxa"/>
              <w:right w:w="108" w:type="dxa"/>
            </w:tcMar>
          </w:tcPr>
          <w:p w:rsidR="00781FDA" w:rsidRPr="003C3A37" w:rsidRDefault="00781FDA" w:rsidP="008E41F4">
            <w:pPr>
              <w:jc w:val="center"/>
              <w:rPr>
                <w:rFonts w:ascii="標楷體" w:eastAsia="標楷體" w:hAnsi="標楷體"/>
                <w:szCs w:val="24"/>
              </w:rPr>
            </w:pPr>
            <w:r w:rsidRPr="003C3A37">
              <w:rPr>
                <w:rFonts w:ascii="標楷體" w:eastAsia="標楷體" w:hAnsi="標楷體" w:hint="eastAsia"/>
                <w:szCs w:val="24"/>
              </w:rPr>
              <w:t>獎勵</w:t>
            </w:r>
          </w:p>
          <w:p w:rsidR="00781FDA" w:rsidRPr="003C3A37" w:rsidRDefault="00781FDA" w:rsidP="008E41F4">
            <w:pPr>
              <w:jc w:val="center"/>
              <w:rPr>
                <w:rFonts w:ascii="標楷體" w:eastAsia="標楷體" w:hAnsi="標楷體"/>
                <w:szCs w:val="24"/>
              </w:rPr>
            </w:pPr>
            <w:r w:rsidRPr="003C3A37">
              <w:rPr>
                <w:rFonts w:ascii="標楷體" w:eastAsia="標楷體" w:hAnsi="標楷體" w:hint="eastAsia"/>
                <w:szCs w:val="24"/>
              </w:rPr>
              <w:t>標準</w:t>
            </w:r>
          </w:p>
        </w:tc>
        <w:tc>
          <w:tcPr>
            <w:tcW w:w="2126" w:type="dxa"/>
            <w:tcBorders>
              <w:top w:val="single" w:sz="12" w:space="0" w:color="auto"/>
            </w:tcBorders>
            <w:tcMar>
              <w:top w:w="0" w:type="dxa"/>
              <w:left w:w="108" w:type="dxa"/>
              <w:bottom w:w="0" w:type="dxa"/>
              <w:right w:w="108" w:type="dxa"/>
            </w:tcMar>
          </w:tcPr>
          <w:p w:rsidR="00781FDA" w:rsidRPr="003C3A37" w:rsidRDefault="00781FDA" w:rsidP="008E41F4">
            <w:pPr>
              <w:jc w:val="center"/>
              <w:rPr>
                <w:rFonts w:ascii="標楷體" w:eastAsia="標楷體" w:hAnsi="標楷體"/>
                <w:szCs w:val="24"/>
              </w:rPr>
            </w:pPr>
            <w:r w:rsidRPr="003C3A37">
              <w:rPr>
                <w:rFonts w:ascii="標楷體" w:eastAsia="標楷體" w:hAnsi="標楷體" w:hint="eastAsia"/>
                <w:szCs w:val="24"/>
              </w:rPr>
              <w:t>未滿三年</w:t>
            </w:r>
          </w:p>
        </w:tc>
        <w:tc>
          <w:tcPr>
            <w:tcW w:w="2551" w:type="dxa"/>
            <w:tcBorders>
              <w:top w:val="single" w:sz="12" w:space="0" w:color="auto"/>
            </w:tcBorders>
            <w:tcMar>
              <w:top w:w="0" w:type="dxa"/>
              <w:left w:w="108" w:type="dxa"/>
              <w:bottom w:w="0" w:type="dxa"/>
              <w:right w:w="108" w:type="dxa"/>
            </w:tcMar>
          </w:tcPr>
          <w:p w:rsidR="00781FDA" w:rsidRPr="003C3A37" w:rsidRDefault="00781FDA" w:rsidP="008E41F4">
            <w:pPr>
              <w:jc w:val="center"/>
              <w:rPr>
                <w:rFonts w:ascii="標楷體" w:eastAsia="標楷體" w:hAnsi="標楷體"/>
                <w:szCs w:val="24"/>
              </w:rPr>
            </w:pPr>
            <w:r w:rsidRPr="003C3A37">
              <w:rPr>
                <w:rFonts w:ascii="標楷體" w:eastAsia="標楷體" w:hAnsi="標楷體" w:hint="eastAsia"/>
                <w:szCs w:val="24"/>
              </w:rPr>
              <w:t>三年以上</w:t>
            </w:r>
          </w:p>
        </w:tc>
        <w:tc>
          <w:tcPr>
            <w:tcW w:w="2552" w:type="dxa"/>
            <w:tcBorders>
              <w:top w:val="single" w:sz="12" w:space="0" w:color="auto"/>
            </w:tcBorders>
            <w:tcMar>
              <w:top w:w="0" w:type="dxa"/>
              <w:left w:w="108" w:type="dxa"/>
              <w:bottom w:w="0" w:type="dxa"/>
              <w:right w:w="108" w:type="dxa"/>
            </w:tcMar>
          </w:tcPr>
          <w:p w:rsidR="00781FDA" w:rsidRPr="003C3A37" w:rsidRDefault="00781FDA" w:rsidP="008E41F4">
            <w:pPr>
              <w:jc w:val="center"/>
              <w:rPr>
                <w:rFonts w:ascii="標楷體" w:eastAsia="標楷體" w:hAnsi="標楷體"/>
                <w:szCs w:val="24"/>
              </w:rPr>
            </w:pPr>
            <w:r w:rsidRPr="003C3A37">
              <w:rPr>
                <w:rFonts w:ascii="標楷體" w:eastAsia="標楷體" w:hAnsi="標楷體" w:hint="eastAsia"/>
                <w:szCs w:val="24"/>
              </w:rPr>
              <w:t>獎勵</w:t>
            </w:r>
          </w:p>
          <w:p w:rsidR="00781FDA" w:rsidRPr="003C3A37" w:rsidRDefault="00781FDA" w:rsidP="008E41F4">
            <w:pPr>
              <w:jc w:val="center"/>
              <w:rPr>
                <w:rFonts w:ascii="標楷體" w:eastAsia="標楷體" w:hAnsi="標楷體"/>
                <w:szCs w:val="24"/>
              </w:rPr>
            </w:pPr>
            <w:r w:rsidRPr="003C3A37">
              <w:rPr>
                <w:rFonts w:ascii="標楷體" w:eastAsia="標楷體" w:hAnsi="標楷體" w:hint="eastAsia"/>
                <w:szCs w:val="24"/>
              </w:rPr>
              <w:t>辦法</w:t>
            </w:r>
          </w:p>
        </w:tc>
      </w:tr>
      <w:tr w:rsidR="00781FDA" w:rsidRPr="003C3A37" w:rsidTr="00E12C7A">
        <w:trPr>
          <w:trHeight w:val="680"/>
        </w:trPr>
        <w:tc>
          <w:tcPr>
            <w:tcW w:w="1276" w:type="dxa"/>
            <w:vMerge w:val="restart"/>
            <w:tcMar>
              <w:top w:w="0" w:type="dxa"/>
              <w:left w:w="108" w:type="dxa"/>
              <w:bottom w:w="0" w:type="dxa"/>
              <w:right w:w="108" w:type="dxa"/>
            </w:tcMar>
          </w:tcPr>
          <w:p w:rsidR="00781FDA" w:rsidRPr="003C3A37" w:rsidRDefault="00781FDA" w:rsidP="008E41F4">
            <w:pPr>
              <w:jc w:val="center"/>
              <w:rPr>
                <w:rFonts w:ascii="標楷體" w:eastAsia="標楷體" w:hAnsi="標楷體"/>
                <w:szCs w:val="24"/>
              </w:rPr>
            </w:pPr>
            <w:r w:rsidRPr="003C3A37">
              <w:rPr>
                <w:rFonts w:ascii="標楷體" w:eastAsia="標楷體" w:hAnsi="標楷體" w:hint="eastAsia"/>
                <w:szCs w:val="24"/>
              </w:rPr>
              <w:t>金額</w:t>
            </w:r>
          </w:p>
          <w:p w:rsidR="00781FDA" w:rsidRPr="003C3A37" w:rsidRDefault="00781FDA" w:rsidP="008E41F4">
            <w:pPr>
              <w:jc w:val="center"/>
              <w:rPr>
                <w:rFonts w:ascii="標楷體" w:eastAsia="標楷體" w:hAnsi="標楷體"/>
                <w:szCs w:val="24"/>
              </w:rPr>
            </w:pPr>
            <w:r w:rsidRPr="003C3A37">
              <w:rPr>
                <w:rFonts w:ascii="標楷體" w:eastAsia="標楷體" w:hAnsi="標楷體" w:hint="eastAsia"/>
                <w:szCs w:val="24"/>
              </w:rPr>
              <w:t>標準</w:t>
            </w:r>
          </w:p>
        </w:tc>
        <w:tc>
          <w:tcPr>
            <w:tcW w:w="2126" w:type="dxa"/>
            <w:tcMar>
              <w:top w:w="0" w:type="dxa"/>
              <w:left w:w="108" w:type="dxa"/>
              <w:bottom w:w="0" w:type="dxa"/>
              <w:right w:w="108" w:type="dxa"/>
            </w:tcMar>
          </w:tcPr>
          <w:p w:rsidR="00781FDA" w:rsidRPr="003C3A37" w:rsidRDefault="00781FDA" w:rsidP="008E41F4">
            <w:pPr>
              <w:jc w:val="center"/>
              <w:rPr>
                <w:rFonts w:ascii="標楷體" w:eastAsia="標楷體" w:hAnsi="標楷體"/>
                <w:szCs w:val="24"/>
              </w:rPr>
            </w:pPr>
            <w:r w:rsidRPr="003C3A37">
              <w:rPr>
                <w:rFonts w:ascii="標楷體" w:eastAsia="標楷體" w:hAnsi="標楷體"/>
                <w:szCs w:val="24"/>
              </w:rPr>
              <w:t>1,000,001</w:t>
            </w:r>
            <w:r w:rsidRPr="003C3A37">
              <w:rPr>
                <w:rFonts w:ascii="標楷體" w:eastAsia="標楷體" w:hAnsi="標楷體" w:hint="eastAsia"/>
                <w:szCs w:val="24"/>
              </w:rPr>
              <w:t>元以上</w:t>
            </w:r>
          </w:p>
        </w:tc>
        <w:tc>
          <w:tcPr>
            <w:tcW w:w="2551" w:type="dxa"/>
            <w:tcMar>
              <w:top w:w="0" w:type="dxa"/>
              <w:left w:w="108" w:type="dxa"/>
              <w:bottom w:w="0" w:type="dxa"/>
              <w:right w:w="108" w:type="dxa"/>
            </w:tcMar>
          </w:tcPr>
          <w:p w:rsidR="00781FDA" w:rsidRPr="003C3A37" w:rsidRDefault="00781FDA" w:rsidP="008E41F4">
            <w:pPr>
              <w:jc w:val="center"/>
              <w:rPr>
                <w:rFonts w:ascii="標楷體" w:eastAsia="標楷體" w:hAnsi="標楷體"/>
                <w:szCs w:val="24"/>
              </w:rPr>
            </w:pPr>
            <w:r w:rsidRPr="003C3A37">
              <w:rPr>
                <w:rFonts w:ascii="標楷體" w:eastAsia="標楷體" w:hAnsi="標楷體"/>
                <w:szCs w:val="24"/>
              </w:rPr>
              <w:t>800,000</w:t>
            </w:r>
            <w:r w:rsidRPr="003C3A37">
              <w:rPr>
                <w:rFonts w:ascii="標楷體" w:eastAsia="標楷體" w:hAnsi="標楷體" w:hint="eastAsia"/>
                <w:szCs w:val="24"/>
              </w:rPr>
              <w:t>元以上</w:t>
            </w:r>
          </w:p>
        </w:tc>
        <w:tc>
          <w:tcPr>
            <w:tcW w:w="2552" w:type="dxa"/>
            <w:tcMar>
              <w:top w:w="0" w:type="dxa"/>
              <w:left w:w="108" w:type="dxa"/>
              <w:bottom w:w="0" w:type="dxa"/>
              <w:right w:w="108" w:type="dxa"/>
            </w:tcMar>
          </w:tcPr>
          <w:p w:rsidR="00781FDA" w:rsidRPr="003C3A37" w:rsidRDefault="00781FDA" w:rsidP="008E41F4">
            <w:pPr>
              <w:pStyle w:val="a3"/>
              <w:numPr>
                <w:ilvl w:val="0"/>
                <w:numId w:val="16"/>
              </w:numPr>
              <w:ind w:leftChars="0"/>
              <w:jc w:val="both"/>
              <w:rPr>
                <w:rFonts w:ascii="標楷體" w:eastAsia="標楷體" w:hAnsi="標楷體"/>
                <w:szCs w:val="24"/>
              </w:rPr>
            </w:pPr>
            <w:r w:rsidRPr="003C3A37">
              <w:rPr>
                <w:rFonts w:ascii="標楷體" w:eastAsia="標楷體" w:hAnsi="標楷體" w:hint="eastAsia"/>
                <w:szCs w:val="24"/>
              </w:rPr>
              <w:t>主辦人員記功二次</w:t>
            </w:r>
          </w:p>
          <w:p w:rsidR="00781FDA" w:rsidRPr="00315E15" w:rsidRDefault="00781FDA" w:rsidP="00315E15">
            <w:pPr>
              <w:pStyle w:val="a3"/>
              <w:numPr>
                <w:ilvl w:val="0"/>
                <w:numId w:val="16"/>
              </w:numPr>
              <w:ind w:leftChars="0"/>
              <w:jc w:val="both"/>
              <w:rPr>
                <w:rFonts w:ascii="標楷體" w:eastAsia="標楷體" w:hAnsi="標楷體" w:hint="eastAsia"/>
                <w:szCs w:val="24"/>
              </w:rPr>
            </w:pPr>
            <w:r w:rsidRPr="003C3A37">
              <w:rPr>
                <w:rFonts w:ascii="標楷體" w:eastAsia="標楷體" w:hAnsi="標楷體" w:hint="eastAsia"/>
                <w:szCs w:val="24"/>
              </w:rPr>
              <w:t>協辦人員記功乙次</w:t>
            </w:r>
            <w:bookmarkStart w:id="0" w:name="_GoBack"/>
            <w:bookmarkEnd w:id="0"/>
          </w:p>
        </w:tc>
      </w:tr>
      <w:tr w:rsidR="00781FDA" w:rsidRPr="003C3A37" w:rsidTr="00E12C7A">
        <w:trPr>
          <w:trHeight w:val="680"/>
        </w:trPr>
        <w:tc>
          <w:tcPr>
            <w:tcW w:w="1276" w:type="dxa"/>
            <w:vMerge/>
            <w:vAlign w:val="center"/>
          </w:tcPr>
          <w:p w:rsidR="00781FDA" w:rsidRPr="003C3A37" w:rsidRDefault="00781FDA" w:rsidP="008E41F4">
            <w:pPr>
              <w:jc w:val="both"/>
              <w:rPr>
                <w:rFonts w:ascii="標楷體" w:eastAsia="標楷體" w:hAnsi="標楷體"/>
                <w:szCs w:val="24"/>
              </w:rPr>
            </w:pPr>
          </w:p>
        </w:tc>
        <w:tc>
          <w:tcPr>
            <w:tcW w:w="2126" w:type="dxa"/>
            <w:tcMar>
              <w:top w:w="0" w:type="dxa"/>
              <w:left w:w="108" w:type="dxa"/>
              <w:bottom w:w="0" w:type="dxa"/>
              <w:right w:w="108" w:type="dxa"/>
            </w:tcMar>
          </w:tcPr>
          <w:p w:rsidR="00781FDA" w:rsidRPr="003C3A37" w:rsidRDefault="00781FDA" w:rsidP="008E41F4">
            <w:pPr>
              <w:jc w:val="center"/>
              <w:rPr>
                <w:rFonts w:ascii="標楷體" w:eastAsia="標楷體" w:hAnsi="標楷體"/>
                <w:szCs w:val="24"/>
              </w:rPr>
            </w:pPr>
            <w:r w:rsidRPr="003C3A37">
              <w:rPr>
                <w:rFonts w:ascii="標楷體" w:eastAsia="標楷體" w:hAnsi="標楷體"/>
                <w:szCs w:val="24"/>
              </w:rPr>
              <w:t>500,001</w:t>
            </w:r>
            <w:r w:rsidRPr="003C3A37">
              <w:rPr>
                <w:rFonts w:ascii="標楷體" w:eastAsia="標楷體" w:hAnsi="標楷體" w:hint="eastAsia"/>
                <w:szCs w:val="24"/>
              </w:rPr>
              <w:t>元</w:t>
            </w:r>
            <w:r w:rsidRPr="003C3A37">
              <w:rPr>
                <w:rFonts w:ascii="標楷體" w:eastAsia="標楷體" w:hAnsi="標楷體"/>
                <w:szCs w:val="24"/>
              </w:rPr>
              <w:t>-</w:t>
            </w:r>
          </w:p>
          <w:p w:rsidR="00781FDA" w:rsidRPr="003C3A37" w:rsidRDefault="003E3E38" w:rsidP="008E41F4">
            <w:pPr>
              <w:jc w:val="center"/>
              <w:rPr>
                <w:rFonts w:ascii="標楷體" w:eastAsia="標楷體" w:hAnsi="標楷體"/>
                <w:szCs w:val="24"/>
              </w:rPr>
            </w:pPr>
            <w:r>
              <w:rPr>
                <w:rFonts w:ascii="標楷體" w:eastAsia="標楷體" w:hAnsi="標楷體"/>
                <w:szCs w:val="24"/>
              </w:rPr>
              <w:t>1</w:t>
            </w:r>
            <w:r>
              <w:rPr>
                <w:rFonts w:ascii="標楷體" w:eastAsia="標楷體" w:hAnsi="標楷體" w:hint="eastAsia"/>
                <w:szCs w:val="24"/>
              </w:rPr>
              <w:t>,</w:t>
            </w:r>
            <w:r>
              <w:rPr>
                <w:rFonts w:ascii="標楷體" w:eastAsia="標楷體" w:hAnsi="標楷體"/>
                <w:szCs w:val="24"/>
              </w:rPr>
              <w:t>0</w:t>
            </w:r>
            <w:r w:rsidR="00781FDA" w:rsidRPr="003C3A37">
              <w:rPr>
                <w:rFonts w:ascii="標楷體" w:eastAsia="標楷體" w:hAnsi="標楷體"/>
                <w:szCs w:val="24"/>
              </w:rPr>
              <w:t>00,000</w:t>
            </w:r>
            <w:r w:rsidR="00781FDA" w:rsidRPr="003C3A37">
              <w:rPr>
                <w:rFonts w:ascii="標楷體" w:eastAsia="標楷體" w:hAnsi="標楷體" w:hint="eastAsia"/>
                <w:szCs w:val="24"/>
              </w:rPr>
              <w:t>元</w:t>
            </w:r>
          </w:p>
        </w:tc>
        <w:tc>
          <w:tcPr>
            <w:tcW w:w="2551" w:type="dxa"/>
            <w:tcMar>
              <w:top w:w="0" w:type="dxa"/>
              <w:left w:w="108" w:type="dxa"/>
              <w:bottom w:w="0" w:type="dxa"/>
              <w:right w:w="108" w:type="dxa"/>
            </w:tcMar>
          </w:tcPr>
          <w:p w:rsidR="00781FDA" w:rsidRPr="003C3A37" w:rsidRDefault="00781FDA" w:rsidP="008E41F4">
            <w:pPr>
              <w:jc w:val="center"/>
              <w:rPr>
                <w:rFonts w:ascii="標楷體" w:eastAsia="標楷體" w:hAnsi="標楷體"/>
                <w:szCs w:val="24"/>
              </w:rPr>
            </w:pPr>
            <w:r w:rsidRPr="003C3A37">
              <w:rPr>
                <w:rFonts w:ascii="標楷體" w:eastAsia="標楷體" w:hAnsi="標楷體"/>
                <w:szCs w:val="24"/>
              </w:rPr>
              <w:t>300,001</w:t>
            </w:r>
            <w:r w:rsidRPr="003C3A37">
              <w:rPr>
                <w:rFonts w:ascii="標楷體" w:eastAsia="標楷體" w:hAnsi="標楷體" w:hint="eastAsia"/>
                <w:szCs w:val="24"/>
              </w:rPr>
              <w:t>元</w:t>
            </w:r>
            <w:r w:rsidRPr="003C3A37">
              <w:rPr>
                <w:rFonts w:ascii="標楷體" w:eastAsia="標楷體" w:hAnsi="標楷體"/>
                <w:szCs w:val="24"/>
              </w:rPr>
              <w:t>-</w:t>
            </w:r>
          </w:p>
          <w:p w:rsidR="00781FDA" w:rsidRPr="003C3A37" w:rsidRDefault="00781FDA" w:rsidP="008E41F4">
            <w:pPr>
              <w:jc w:val="center"/>
              <w:rPr>
                <w:rFonts w:ascii="標楷體" w:eastAsia="標楷體" w:hAnsi="標楷體"/>
                <w:szCs w:val="24"/>
              </w:rPr>
            </w:pPr>
            <w:r w:rsidRPr="003C3A37">
              <w:rPr>
                <w:rFonts w:ascii="標楷體" w:eastAsia="標楷體" w:hAnsi="標楷體"/>
                <w:szCs w:val="24"/>
              </w:rPr>
              <w:t>800,000</w:t>
            </w:r>
            <w:r w:rsidRPr="003C3A37">
              <w:rPr>
                <w:rFonts w:ascii="標楷體" w:eastAsia="標楷體" w:hAnsi="標楷體" w:hint="eastAsia"/>
                <w:szCs w:val="24"/>
              </w:rPr>
              <w:t>元</w:t>
            </w:r>
          </w:p>
        </w:tc>
        <w:tc>
          <w:tcPr>
            <w:tcW w:w="2552" w:type="dxa"/>
            <w:tcMar>
              <w:top w:w="0" w:type="dxa"/>
              <w:left w:w="108" w:type="dxa"/>
              <w:bottom w:w="0" w:type="dxa"/>
              <w:right w:w="108" w:type="dxa"/>
            </w:tcMar>
          </w:tcPr>
          <w:p w:rsidR="00781FDA" w:rsidRPr="003C3A37" w:rsidRDefault="00781FDA" w:rsidP="008E41F4">
            <w:pPr>
              <w:pStyle w:val="a3"/>
              <w:numPr>
                <w:ilvl w:val="0"/>
                <w:numId w:val="18"/>
              </w:numPr>
              <w:ind w:leftChars="0"/>
              <w:jc w:val="both"/>
              <w:rPr>
                <w:rFonts w:ascii="標楷體" w:eastAsia="標楷體" w:hAnsi="標楷體"/>
                <w:szCs w:val="24"/>
              </w:rPr>
            </w:pPr>
            <w:r w:rsidRPr="003C3A37">
              <w:rPr>
                <w:rFonts w:ascii="標楷體" w:eastAsia="標楷體" w:hAnsi="標楷體" w:hint="eastAsia"/>
                <w:szCs w:val="24"/>
              </w:rPr>
              <w:t>主辦人員記功乙次</w:t>
            </w:r>
          </w:p>
          <w:p w:rsidR="00781FDA" w:rsidRPr="003C3A37" w:rsidRDefault="00781FDA" w:rsidP="0068140E">
            <w:pPr>
              <w:pStyle w:val="a3"/>
              <w:numPr>
                <w:ilvl w:val="0"/>
                <w:numId w:val="18"/>
              </w:numPr>
              <w:ind w:leftChars="0"/>
              <w:jc w:val="both"/>
              <w:rPr>
                <w:rFonts w:ascii="標楷體" w:eastAsia="標楷體" w:hAnsi="標楷體"/>
                <w:szCs w:val="24"/>
              </w:rPr>
            </w:pPr>
            <w:r w:rsidRPr="003C3A37">
              <w:rPr>
                <w:rFonts w:ascii="標楷體" w:eastAsia="標楷體" w:hAnsi="標楷體" w:hint="eastAsia"/>
                <w:szCs w:val="24"/>
              </w:rPr>
              <w:t>協辦人員嘉獎二次</w:t>
            </w:r>
          </w:p>
        </w:tc>
      </w:tr>
      <w:tr w:rsidR="00781FDA" w:rsidRPr="003C3A37" w:rsidTr="00E12C7A">
        <w:trPr>
          <w:trHeight w:val="680"/>
        </w:trPr>
        <w:tc>
          <w:tcPr>
            <w:tcW w:w="1276" w:type="dxa"/>
            <w:vMerge/>
            <w:vAlign w:val="center"/>
          </w:tcPr>
          <w:p w:rsidR="00781FDA" w:rsidRPr="003C3A37" w:rsidRDefault="00781FDA" w:rsidP="008E41F4">
            <w:pPr>
              <w:jc w:val="both"/>
              <w:rPr>
                <w:rFonts w:ascii="標楷體" w:eastAsia="標楷體" w:hAnsi="標楷體"/>
                <w:szCs w:val="24"/>
              </w:rPr>
            </w:pPr>
          </w:p>
        </w:tc>
        <w:tc>
          <w:tcPr>
            <w:tcW w:w="2126" w:type="dxa"/>
            <w:tcMar>
              <w:top w:w="0" w:type="dxa"/>
              <w:left w:w="108" w:type="dxa"/>
              <w:bottom w:w="0" w:type="dxa"/>
              <w:right w:w="108" w:type="dxa"/>
            </w:tcMar>
          </w:tcPr>
          <w:p w:rsidR="00781FDA" w:rsidRPr="003C3A37" w:rsidRDefault="00781FDA" w:rsidP="008E41F4">
            <w:pPr>
              <w:jc w:val="center"/>
              <w:rPr>
                <w:rFonts w:ascii="標楷體" w:eastAsia="標楷體" w:hAnsi="標楷體"/>
                <w:szCs w:val="24"/>
              </w:rPr>
            </w:pPr>
            <w:r w:rsidRPr="003C3A37">
              <w:rPr>
                <w:rFonts w:ascii="標楷體" w:eastAsia="標楷體" w:hAnsi="標楷體"/>
                <w:szCs w:val="24"/>
              </w:rPr>
              <w:t>300,001</w:t>
            </w:r>
            <w:r w:rsidRPr="003C3A37">
              <w:rPr>
                <w:rFonts w:ascii="標楷體" w:eastAsia="標楷體" w:hAnsi="標楷體" w:hint="eastAsia"/>
                <w:szCs w:val="24"/>
              </w:rPr>
              <w:t>元</w:t>
            </w:r>
            <w:r w:rsidRPr="003C3A37">
              <w:rPr>
                <w:rFonts w:ascii="標楷體" w:eastAsia="標楷體" w:hAnsi="標楷體"/>
                <w:szCs w:val="24"/>
              </w:rPr>
              <w:t>-</w:t>
            </w:r>
          </w:p>
          <w:p w:rsidR="00781FDA" w:rsidRPr="003C3A37" w:rsidRDefault="00781FDA" w:rsidP="008E41F4">
            <w:pPr>
              <w:jc w:val="center"/>
              <w:rPr>
                <w:rFonts w:ascii="標楷體" w:eastAsia="標楷體" w:hAnsi="標楷體"/>
                <w:szCs w:val="24"/>
              </w:rPr>
            </w:pPr>
            <w:r w:rsidRPr="003C3A37">
              <w:rPr>
                <w:rFonts w:ascii="標楷體" w:eastAsia="標楷體" w:hAnsi="標楷體"/>
                <w:szCs w:val="24"/>
              </w:rPr>
              <w:t>500,000</w:t>
            </w:r>
            <w:r w:rsidRPr="003C3A37">
              <w:rPr>
                <w:rFonts w:ascii="標楷體" w:eastAsia="標楷體" w:hAnsi="標楷體" w:hint="eastAsia"/>
                <w:szCs w:val="24"/>
              </w:rPr>
              <w:t>元</w:t>
            </w:r>
          </w:p>
        </w:tc>
        <w:tc>
          <w:tcPr>
            <w:tcW w:w="2551" w:type="dxa"/>
            <w:tcMar>
              <w:top w:w="0" w:type="dxa"/>
              <w:left w:w="108" w:type="dxa"/>
              <w:bottom w:w="0" w:type="dxa"/>
              <w:right w:w="108" w:type="dxa"/>
            </w:tcMar>
          </w:tcPr>
          <w:p w:rsidR="00781FDA" w:rsidRPr="003C3A37" w:rsidRDefault="00781FDA" w:rsidP="008E41F4">
            <w:pPr>
              <w:jc w:val="center"/>
              <w:rPr>
                <w:rFonts w:ascii="標楷體" w:eastAsia="標楷體" w:hAnsi="標楷體"/>
                <w:szCs w:val="24"/>
              </w:rPr>
            </w:pPr>
            <w:r w:rsidRPr="003C3A37">
              <w:rPr>
                <w:rFonts w:ascii="標楷體" w:eastAsia="標楷體" w:hAnsi="標楷體"/>
                <w:szCs w:val="24"/>
              </w:rPr>
              <w:t>100,001</w:t>
            </w:r>
            <w:r w:rsidRPr="003C3A37">
              <w:rPr>
                <w:rFonts w:ascii="標楷體" w:eastAsia="標楷體" w:hAnsi="標楷體" w:hint="eastAsia"/>
                <w:szCs w:val="24"/>
              </w:rPr>
              <w:t>元</w:t>
            </w:r>
            <w:r w:rsidRPr="003C3A37">
              <w:rPr>
                <w:rFonts w:ascii="標楷體" w:eastAsia="標楷體" w:hAnsi="標楷體"/>
                <w:szCs w:val="24"/>
              </w:rPr>
              <w:t>-</w:t>
            </w:r>
          </w:p>
          <w:p w:rsidR="00781FDA" w:rsidRPr="003C3A37" w:rsidRDefault="00781FDA" w:rsidP="008E41F4">
            <w:pPr>
              <w:jc w:val="center"/>
              <w:rPr>
                <w:rFonts w:ascii="標楷體" w:eastAsia="標楷體" w:hAnsi="標楷體"/>
                <w:szCs w:val="24"/>
              </w:rPr>
            </w:pPr>
            <w:r w:rsidRPr="003C3A37">
              <w:rPr>
                <w:rFonts w:ascii="標楷體" w:eastAsia="標楷體" w:hAnsi="標楷體"/>
                <w:szCs w:val="24"/>
              </w:rPr>
              <w:t>300,000</w:t>
            </w:r>
            <w:r w:rsidRPr="003C3A37">
              <w:rPr>
                <w:rFonts w:ascii="標楷體" w:eastAsia="標楷體" w:hAnsi="標楷體" w:hint="eastAsia"/>
                <w:szCs w:val="24"/>
              </w:rPr>
              <w:t>元</w:t>
            </w:r>
          </w:p>
        </w:tc>
        <w:tc>
          <w:tcPr>
            <w:tcW w:w="2552" w:type="dxa"/>
            <w:tcMar>
              <w:top w:w="0" w:type="dxa"/>
              <w:left w:w="108" w:type="dxa"/>
              <w:bottom w:w="0" w:type="dxa"/>
              <w:right w:w="108" w:type="dxa"/>
            </w:tcMar>
          </w:tcPr>
          <w:p w:rsidR="00781FDA" w:rsidRPr="008E41F4" w:rsidRDefault="00781FDA" w:rsidP="008E41F4">
            <w:pPr>
              <w:pStyle w:val="a3"/>
              <w:numPr>
                <w:ilvl w:val="0"/>
                <w:numId w:val="19"/>
              </w:numPr>
              <w:tabs>
                <w:tab w:val="clear" w:pos="480"/>
                <w:tab w:val="num" w:pos="319"/>
              </w:tabs>
              <w:ind w:leftChars="0" w:left="319" w:hanging="319"/>
              <w:jc w:val="both"/>
              <w:rPr>
                <w:rFonts w:ascii="標楷體" w:eastAsia="標楷體" w:hAnsi="標楷體"/>
                <w:szCs w:val="24"/>
              </w:rPr>
            </w:pPr>
            <w:r w:rsidRPr="008E41F4">
              <w:rPr>
                <w:rFonts w:ascii="標楷體" w:eastAsia="標楷體" w:hAnsi="標楷體" w:hint="eastAsia"/>
              </w:rPr>
              <w:t>主辦人員嘉獎二次</w:t>
            </w:r>
          </w:p>
          <w:p w:rsidR="00781FDA" w:rsidRPr="008E41F4" w:rsidRDefault="00781FDA" w:rsidP="008E41F4">
            <w:pPr>
              <w:pStyle w:val="a3"/>
              <w:numPr>
                <w:ilvl w:val="0"/>
                <w:numId w:val="19"/>
              </w:numPr>
              <w:tabs>
                <w:tab w:val="clear" w:pos="480"/>
                <w:tab w:val="num" w:pos="319"/>
              </w:tabs>
              <w:ind w:leftChars="0" w:left="319" w:hanging="319"/>
              <w:jc w:val="both"/>
              <w:rPr>
                <w:rFonts w:ascii="標楷體" w:eastAsia="標楷體" w:hAnsi="標楷體"/>
                <w:szCs w:val="24"/>
              </w:rPr>
            </w:pPr>
            <w:r w:rsidRPr="008E41F4">
              <w:rPr>
                <w:rFonts w:ascii="標楷體" w:eastAsia="標楷體" w:hAnsi="標楷體" w:hint="eastAsia"/>
              </w:rPr>
              <w:t>協辦人員嘉獎乙次</w:t>
            </w:r>
          </w:p>
        </w:tc>
      </w:tr>
      <w:tr w:rsidR="00781FDA" w:rsidRPr="003C3A37" w:rsidTr="00E12C7A">
        <w:trPr>
          <w:trHeight w:val="680"/>
        </w:trPr>
        <w:tc>
          <w:tcPr>
            <w:tcW w:w="1276" w:type="dxa"/>
            <w:vMerge/>
            <w:vAlign w:val="center"/>
          </w:tcPr>
          <w:p w:rsidR="00781FDA" w:rsidRPr="003C3A37" w:rsidRDefault="00781FDA" w:rsidP="008E41F4">
            <w:pPr>
              <w:jc w:val="both"/>
              <w:rPr>
                <w:rFonts w:ascii="標楷體" w:eastAsia="標楷體" w:hAnsi="標楷體"/>
                <w:szCs w:val="24"/>
              </w:rPr>
            </w:pPr>
          </w:p>
        </w:tc>
        <w:tc>
          <w:tcPr>
            <w:tcW w:w="2126" w:type="dxa"/>
            <w:tcMar>
              <w:top w:w="0" w:type="dxa"/>
              <w:left w:w="108" w:type="dxa"/>
              <w:bottom w:w="0" w:type="dxa"/>
              <w:right w:w="108" w:type="dxa"/>
            </w:tcMar>
          </w:tcPr>
          <w:p w:rsidR="00781FDA" w:rsidRPr="003C3A37" w:rsidRDefault="00781FDA" w:rsidP="008E41F4">
            <w:pPr>
              <w:jc w:val="center"/>
              <w:rPr>
                <w:rFonts w:ascii="標楷體" w:eastAsia="標楷體" w:hAnsi="標楷體"/>
                <w:szCs w:val="24"/>
              </w:rPr>
            </w:pPr>
            <w:r w:rsidRPr="003C3A37">
              <w:rPr>
                <w:rFonts w:ascii="標楷體" w:eastAsia="標楷體" w:hAnsi="標楷體"/>
                <w:szCs w:val="24"/>
              </w:rPr>
              <w:t>100,000</w:t>
            </w:r>
            <w:r w:rsidRPr="003C3A37">
              <w:rPr>
                <w:rFonts w:ascii="標楷體" w:eastAsia="標楷體" w:hAnsi="標楷體" w:hint="eastAsia"/>
                <w:szCs w:val="24"/>
              </w:rPr>
              <w:t>元</w:t>
            </w:r>
            <w:r w:rsidRPr="003C3A37">
              <w:rPr>
                <w:rFonts w:ascii="標楷體" w:eastAsia="標楷體" w:hAnsi="標楷體"/>
                <w:szCs w:val="24"/>
              </w:rPr>
              <w:t>-</w:t>
            </w:r>
          </w:p>
          <w:p w:rsidR="00781FDA" w:rsidRPr="003C3A37" w:rsidRDefault="00781FDA" w:rsidP="008E41F4">
            <w:pPr>
              <w:jc w:val="center"/>
              <w:rPr>
                <w:rFonts w:ascii="標楷體" w:eastAsia="標楷體" w:hAnsi="標楷體"/>
                <w:szCs w:val="24"/>
              </w:rPr>
            </w:pPr>
            <w:r w:rsidRPr="003C3A37">
              <w:rPr>
                <w:rFonts w:ascii="標楷體" w:eastAsia="標楷體" w:hAnsi="標楷體"/>
                <w:szCs w:val="24"/>
              </w:rPr>
              <w:t>300,000</w:t>
            </w:r>
            <w:r w:rsidRPr="003C3A37">
              <w:rPr>
                <w:rFonts w:ascii="標楷體" w:eastAsia="標楷體" w:hAnsi="標楷體" w:hint="eastAsia"/>
                <w:szCs w:val="24"/>
              </w:rPr>
              <w:t>元</w:t>
            </w:r>
          </w:p>
        </w:tc>
        <w:tc>
          <w:tcPr>
            <w:tcW w:w="2551" w:type="dxa"/>
            <w:tcMar>
              <w:top w:w="0" w:type="dxa"/>
              <w:left w:w="108" w:type="dxa"/>
              <w:bottom w:w="0" w:type="dxa"/>
              <w:right w:w="108" w:type="dxa"/>
            </w:tcMar>
          </w:tcPr>
          <w:p w:rsidR="00781FDA" w:rsidRPr="003C3A37" w:rsidRDefault="00781FDA" w:rsidP="008E41F4">
            <w:pPr>
              <w:jc w:val="center"/>
              <w:rPr>
                <w:rFonts w:ascii="標楷體" w:eastAsia="標楷體" w:hAnsi="標楷體"/>
                <w:szCs w:val="24"/>
              </w:rPr>
            </w:pPr>
            <w:r w:rsidRPr="003C3A37">
              <w:rPr>
                <w:rFonts w:ascii="標楷體" w:eastAsia="標楷體" w:hAnsi="標楷體"/>
                <w:szCs w:val="24"/>
              </w:rPr>
              <w:t>70,000</w:t>
            </w:r>
            <w:r w:rsidR="00A034F0">
              <w:rPr>
                <w:rFonts w:ascii="標楷體" w:eastAsia="標楷體" w:hAnsi="標楷體" w:hint="eastAsia"/>
                <w:szCs w:val="24"/>
              </w:rPr>
              <w:t>元</w:t>
            </w:r>
            <w:r w:rsidRPr="003C3A37">
              <w:rPr>
                <w:rFonts w:ascii="標楷體" w:eastAsia="標楷體" w:hAnsi="標楷體"/>
                <w:szCs w:val="24"/>
              </w:rPr>
              <w:t>-</w:t>
            </w:r>
          </w:p>
          <w:p w:rsidR="00781FDA" w:rsidRPr="003C3A37" w:rsidRDefault="00781FDA" w:rsidP="008E41F4">
            <w:pPr>
              <w:jc w:val="center"/>
              <w:rPr>
                <w:rFonts w:ascii="標楷體" w:eastAsia="標楷體" w:hAnsi="標楷體"/>
                <w:szCs w:val="24"/>
              </w:rPr>
            </w:pPr>
            <w:r w:rsidRPr="003C3A37">
              <w:rPr>
                <w:rFonts w:ascii="標楷體" w:eastAsia="標楷體" w:hAnsi="標楷體"/>
                <w:szCs w:val="24"/>
              </w:rPr>
              <w:t>100,000</w:t>
            </w:r>
            <w:r w:rsidRPr="003C3A37">
              <w:rPr>
                <w:rFonts w:ascii="標楷體" w:eastAsia="標楷體" w:hAnsi="標楷體" w:hint="eastAsia"/>
                <w:szCs w:val="24"/>
              </w:rPr>
              <w:t>元</w:t>
            </w:r>
          </w:p>
        </w:tc>
        <w:tc>
          <w:tcPr>
            <w:tcW w:w="2552" w:type="dxa"/>
            <w:tcMar>
              <w:top w:w="0" w:type="dxa"/>
              <w:left w:w="108" w:type="dxa"/>
              <w:bottom w:w="0" w:type="dxa"/>
              <w:right w:w="108" w:type="dxa"/>
            </w:tcMar>
          </w:tcPr>
          <w:p w:rsidR="00781FDA" w:rsidRPr="003C3A37" w:rsidRDefault="00781FDA" w:rsidP="008E41F4">
            <w:pPr>
              <w:jc w:val="both"/>
              <w:rPr>
                <w:rFonts w:ascii="標楷體" w:eastAsia="標楷體" w:hAnsi="標楷體"/>
                <w:szCs w:val="24"/>
              </w:rPr>
            </w:pPr>
            <w:r w:rsidRPr="003C3A37">
              <w:rPr>
                <w:rFonts w:ascii="標楷體" w:eastAsia="標楷體" w:hAnsi="標楷體" w:hint="eastAsia"/>
                <w:szCs w:val="24"/>
              </w:rPr>
              <w:t>主辦人員嘉獎乙次</w:t>
            </w:r>
          </w:p>
        </w:tc>
      </w:tr>
      <w:tr w:rsidR="00781FDA" w:rsidRPr="003C3A37" w:rsidTr="00E12C7A">
        <w:trPr>
          <w:trHeight w:val="794"/>
        </w:trPr>
        <w:tc>
          <w:tcPr>
            <w:tcW w:w="8505" w:type="dxa"/>
            <w:gridSpan w:val="4"/>
            <w:tcBorders>
              <w:bottom w:val="single" w:sz="12" w:space="0" w:color="auto"/>
            </w:tcBorders>
            <w:tcMar>
              <w:top w:w="0" w:type="dxa"/>
              <w:left w:w="108" w:type="dxa"/>
              <w:bottom w:w="0" w:type="dxa"/>
              <w:right w:w="108" w:type="dxa"/>
            </w:tcMar>
          </w:tcPr>
          <w:p w:rsidR="00781FDA" w:rsidRPr="003C3A37" w:rsidRDefault="00781FDA" w:rsidP="008E41F4">
            <w:pPr>
              <w:jc w:val="both"/>
              <w:rPr>
                <w:rFonts w:ascii="標楷體" w:eastAsia="標楷體" w:hAnsi="標楷體"/>
                <w:szCs w:val="24"/>
              </w:rPr>
            </w:pPr>
            <w:r w:rsidRPr="003C3A37">
              <w:rPr>
                <w:rFonts w:ascii="標楷體" w:eastAsia="標楷體" w:hAnsi="標楷體" w:hint="eastAsia"/>
                <w:szCs w:val="24"/>
              </w:rPr>
              <w:t>備註：三年以上之欠稅案件係指合法送達取證之稅捐於繳納期間屆滿之日為準至徵起繳納日（分期繳納以第一期計算）滿三年者，其餘非屬三年以上者皆為未滿三年。</w:t>
            </w:r>
          </w:p>
        </w:tc>
      </w:tr>
    </w:tbl>
    <w:p w:rsidR="00781FDA" w:rsidRDefault="00781FDA" w:rsidP="008E41F4">
      <w:pPr>
        <w:pStyle w:val="a3"/>
        <w:spacing w:line="480" w:lineRule="exact"/>
        <w:ind w:leftChars="0"/>
        <w:jc w:val="both"/>
        <w:rPr>
          <w:rFonts w:ascii="標楷體" w:eastAsia="標楷體" w:hAnsi="標楷體"/>
          <w:sz w:val="28"/>
          <w:szCs w:val="28"/>
        </w:rPr>
      </w:pPr>
    </w:p>
    <w:p w:rsidR="00781FDA" w:rsidRPr="00362F59" w:rsidRDefault="00781FDA" w:rsidP="008E41F4">
      <w:pPr>
        <w:pStyle w:val="a3"/>
        <w:numPr>
          <w:ilvl w:val="0"/>
          <w:numId w:val="9"/>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計算方式：</w:t>
      </w:r>
    </w:p>
    <w:p w:rsidR="00781FDA" w:rsidRPr="00362F59" w:rsidRDefault="00781FDA" w:rsidP="008E41F4">
      <w:pPr>
        <w:spacing w:line="480" w:lineRule="exact"/>
        <w:ind w:leftChars="600" w:left="1440"/>
        <w:jc w:val="both"/>
        <w:rPr>
          <w:rFonts w:ascii="標楷體" w:eastAsia="標楷體" w:hAnsi="標楷體"/>
          <w:sz w:val="28"/>
          <w:szCs w:val="28"/>
        </w:rPr>
      </w:pPr>
      <w:r w:rsidRPr="00362F59">
        <w:rPr>
          <w:rFonts w:ascii="標楷體" w:eastAsia="標楷體" w:hAnsi="標楷體" w:hint="eastAsia"/>
          <w:sz w:val="28"/>
          <w:szCs w:val="28"/>
        </w:rPr>
        <w:t>凡徵起同一納稅義務人不同欠稅時間之欠稅時，依滿三年以上欠稅數加倍併計未滿三年之欠稅數，再按符合「未滿三年欠稅」之獎勵標準予以獎勵。</w:t>
      </w:r>
    </w:p>
    <w:p w:rsidR="00781FDA" w:rsidRPr="00362F59" w:rsidRDefault="00781FDA" w:rsidP="00594E19">
      <w:pPr>
        <w:pStyle w:val="a3"/>
        <w:numPr>
          <w:ilvl w:val="0"/>
          <w:numId w:val="5"/>
        </w:numPr>
        <w:spacing w:line="480" w:lineRule="exact"/>
        <w:ind w:leftChars="0" w:left="851"/>
        <w:jc w:val="both"/>
        <w:rPr>
          <w:rFonts w:ascii="標楷體" w:eastAsia="標楷體" w:hAnsi="標楷體"/>
          <w:sz w:val="28"/>
          <w:szCs w:val="28"/>
        </w:rPr>
      </w:pPr>
      <w:r w:rsidRPr="00362F59">
        <w:rPr>
          <w:rFonts w:ascii="標楷體" w:eastAsia="標楷體" w:hAnsi="標楷體" w:hint="eastAsia"/>
          <w:sz w:val="28"/>
          <w:szCs w:val="28"/>
        </w:rPr>
        <w:t>徵起之欠數係因政府徵收土地發放補償費、退稅抵繳、欠稅人為辦理財產移轉登記或為解除出境限制而自動清繳、或法院強制執行案件登記參與分配受償及已提擔保者，均不得列入敘獎。</w:t>
      </w:r>
    </w:p>
    <w:p w:rsidR="00781FDA" w:rsidRPr="00362F59" w:rsidRDefault="00781FDA" w:rsidP="00594E19">
      <w:pPr>
        <w:pStyle w:val="a3"/>
        <w:numPr>
          <w:ilvl w:val="0"/>
          <w:numId w:val="1"/>
        </w:numPr>
        <w:tabs>
          <w:tab w:val="left" w:pos="709"/>
        </w:tabs>
        <w:spacing w:line="480" w:lineRule="exact"/>
        <w:ind w:leftChars="0" w:left="709" w:hanging="709"/>
        <w:jc w:val="both"/>
        <w:rPr>
          <w:rFonts w:ascii="標楷體" w:eastAsia="標楷體" w:hAnsi="標楷體"/>
          <w:sz w:val="28"/>
          <w:szCs w:val="28"/>
        </w:rPr>
      </w:pPr>
      <w:r w:rsidRPr="00362F59">
        <w:rPr>
          <w:rFonts w:ascii="標楷體" w:eastAsia="標楷體" w:hAnsi="標楷體" w:hint="eastAsia"/>
          <w:sz w:val="28"/>
          <w:szCs w:val="28"/>
        </w:rPr>
        <w:t>清理欠稅業務承辦人員及其直屬</w:t>
      </w:r>
      <w:r>
        <w:rPr>
          <w:rFonts w:ascii="標楷體" w:eastAsia="標楷體" w:hAnsi="標楷體" w:hint="eastAsia"/>
          <w:sz w:val="28"/>
          <w:szCs w:val="28"/>
        </w:rPr>
        <w:t>股長、科長</w:t>
      </w:r>
      <w:r w:rsidRPr="00362F59">
        <w:rPr>
          <w:rFonts w:ascii="標楷體" w:eastAsia="標楷體" w:hAnsi="標楷體" w:hint="eastAsia"/>
          <w:sz w:val="28"/>
          <w:szCs w:val="28"/>
        </w:rPr>
        <w:t>，應依下列期間檢討辦理懲處：</w:t>
      </w:r>
    </w:p>
    <w:p w:rsidR="00781FDA" w:rsidRPr="00362F59" w:rsidRDefault="00781FDA" w:rsidP="00594E19">
      <w:pPr>
        <w:pStyle w:val="a3"/>
        <w:numPr>
          <w:ilvl w:val="0"/>
          <w:numId w:val="10"/>
        </w:numPr>
        <w:spacing w:line="480" w:lineRule="exact"/>
        <w:ind w:leftChars="0" w:left="851"/>
        <w:jc w:val="both"/>
        <w:rPr>
          <w:rFonts w:ascii="標楷體" w:eastAsia="標楷體" w:hAnsi="標楷體"/>
          <w:sz w:val="28"/>
          <w:szCs w:val="28"/>
        </w:rPr>
      </w:pPr>
      <w:r w:rsidRPr="00362F59">
        <w:rPr>
          <w:rFonts w:ascii="標楷體" w:eastAsia="標楷體" w:hAnsi="標楷體" w:hint="eastAsia"/>
          <w:sz w:val="28"/>
          <w:szCs w:val="28"/>
        </w:rPr>
        <w:t>承辦人員應於每年</w:t>
      </w:r>
      <w:r w:rsidR="00C15FE4">
        <w:rPr>
          <w:rFonts w:ascii="標楷體" w:eastAsia="標楷體" w:hAnsi="標楷體" w:hint="eastAsia"/>
          <w:sz w:val="28"/>
          <w:szCs w:val="28"/>
        </w:rPr>
        <w:t>六</w:t>
      </w:r>
      <w:r w:rsidRPr="00362F59">
        <w:rPr>
          <w:rFonts w:ascii="標楷體" w:eastAsia="標楷體" w:hAnsi="標楷體" w:hint="eastAsia"/>
          <w:sz w:val="28"/>
          <w:szCs w:val="28"/>
        </w:rPr>
        <w:t>月</w:t>
      </w:r>
      <w:r w:rsidR="00C15FE4">
        <w:rPr>
          <w:rFonts w:ascii="標楷體" w:eastAsia="標楷體" w:hAnsi="標楷體" w:hint="eastAsia"/>
          <w:sz w:val="28"/>
          <w:szCs w:val="28"/>
        </w:rPr>
        <w:t>三十</w:t>
      </w:r>
      <w:r w:rsidRPr="00362F59">
        <w:rPr>
          <w:rFonts w:ascii="標楷體" w:eastAsia="標楷體" w:hAnsi="標楷體" w:hint="eastAsia"/>
          <w:sz w:val="28"/>
          <w:szCs w:val="28"/>
        </w:rPr>
        <w:t>日及</w:t>
      </w:r>
      <w:r w:rsidR="00C15FE4">
        <w:rPr>
          <w:rFonts w:ascii="標楷體" w:eastAsia="標楷體" w:hAnsi="標楷體" w:hint="eastAsia"/>
          <w:sz w:val="28"/>
          <w:szCs w:val="28"/>
        </w:rPr>
        <w:t>十二</w:t>
      </w:r>
      <w:r w:rsidRPr="00362F59">
        <w:rPr>
          <w:rFonts w:ascii="標楷體" w:eastAsia="標楷體" w:hAnsi="標楷體" w:hint="eastAsia"/>
          <w:sz w:val="28"/>
          <w:szCs w:val="28"/>
        </w:rPr>
        <w:t>月</w:t>
      </w:r>
      <w:r w:rsidR="00C15FE4">
        <w:rPr>
          <w:rFonts w:ascii="標楷體" w:eastAsia="標楷體" w:hAnsi="標楷體" w:hint="eastAsia"/>
          <w:sz w:val="28"/>
          <w:szCs w:val="28"/>
        </w:rPr>
        <w:t>三十一</w:t>
      </w:r>
      <w:r w:rsidRPr="00362F59">
        <w:rPr>
          <w:rFonts w:ascii="標楷體" w:eastAsia="標楷體" w:hAnsi="標楷體" w:hint="eastAsia"/>
          <w:sz w:val="28"/>
          <w:szCs w:val="28"/>
        </w:rPr>
        <w:t>日以前就其承辦案件接受檢查有無達到懲處標準辦理。</w:t>
      </w:r>
    </w:p>
    <w:p w:rsidR="00781FDA" w:rsidRDefault="00781FDA" w:rsidP="00594E19">
      <w:pPr>
        <w:pStyle w:val="a3"/>
        <w:numPr>
          <w:ilvl w:val="0"/>
          <w:numId w:val="10"/>
        </w:numPr>
        <w:spacing w:line="480" w:lineRule="exact"/>
        <w:ind w:leftChars="0" w:left="851"/>
        <w:jc w:val="both"/>
        <w:rPr>
          <w:rFonts w:ascii="標楷體" w:eastAsia="標楷體" w:hAnsi="標楷體"/>
          <w:sz w:val="28"/>
          <w:szCs w:val="28"/>
        </w:rPr>
      </w:pPr>
      <w:r>
        <w:rPr>
          <w:rFonts w:ascii="標楷體" w:eastAsia="標楷體" w:hAnsi="標楷體" w:hint="eastAsia"/>
          <w:sz w:val="28"/>
          <w:szCs w:val="28"/>
        </w:rPr>
        <w:t>股長、科長</w:t>
      </w:r>
      <w:r w:rsidRPr="00362F59">
        <w:rPr>
          <w:rFonts w:ascii="標楷體" w:eastAsia="標楷體" w:hAnsi="標楷體" w:hint="eastAsia"/>
          <w:sz w:val="28"/>
          <w:szCs w:val="28"/>
        </w:rPr>
        <w:t>應以每年</w:t>
      </w:r>
      <w:r w:rsidR="00C15FE4">
        <w:rPr>
          <w:rFonts w:ascii="標楷體" w:eastAsia="標楷體" w:hAnsi="標楷體" w:hint="eastAsia"/>
          <w:sz w:val="28"/>
          <w:szCs w:val="28"/>
        </w:rPr>
        <w:t>一</w:t>
      </w:r>
      <w:r w:rsidRPr="00362F59">
        <w:rPr>
          <w:rFonts w:ascii="標楷體" w:eastAsia="標楷體" w:hAnsi="標楷體" w:hint="eastAsia"/>
          <w:sz w:val="28"/>
          <w:szCs w:val="28"/>
        </w:rPr>
        <w:t>月及</w:t>
      </w:r>
      <w:r w:rsidR="00C15FE4">
        <w:rPr>
          <w:rFonts w:ascii="標楷體" w:eastAsia="標楷體" w:hAnsi="標楷體" w:hint="eastAsia"/>
          <w:sz w:val="28"/>
          <w:szCs w:val="28"/>
        </w:rPr>
        <w:t>七</w:t>
      </w:r>
      <w:r w:rsidRPr="00362F59">
        <w:rPr>
          <w:rFonts w:ascii="標楷體" w:eastAsia="標楷體" w:hAnsi="標楷體" w:hint="eastAsia"/>
          <w:sz w:val="28"/>
          <w:szCs w:val="28"/>
        </w:rPr>
        <w:t>月依其屬員核定發布懲處令之日期為基準日檢討有無達到懲處標準辦理。</w:t>
      </w:r>
    </w:p>
    <w:p w:rsidR="00781FDA" w:rsidRPr="00362F59" w:rsidRDefault="00781FDA" w:rsidP="00594E19">
      <w:pPr>
        <w:pStyle w:val="a3"/>
        <w:numPr>
          <w:ilvl w:val="0"/>
          <w:numId w:val="1"/>
        </w:numPr>
        <w:tabs>
          <w:tab w:val="left" w:pos="709"/>
        </w:tabs>
        <w:spacing w:line="480" w:lineRule="exact"/>
        <w:ind w:leftChars="0" w:left="709" w:hanging="709"/>
        <w:jc w:val="both"/>
        <w:rPr>
          <w:rFonts w:ascii="標楷體" w:eastAsia="標楷體" w:hAnsi="標楷體"/>
          <w:sz w:val="28"/>
          <w:szCs w:val="28"/>
        </w:rPr>
      </w:pPr>
      <w:r w:rsidRPr="00362F59">
        <w:rPr>
          <w:rFonts w:ascii="標楷體" w:eastAsia="標楷體" w:hAnsi="標楷體" w:hint="eastAsia"/>
          <w:sz w:val="28"/>
          <w:szCs w:val="28"/>
        </w:rPr>
        <w:t>清理欠稅業務承辦人員有下列情事，承辦人員及其直屬</w:t>
      </w:r>
      <w:r>
        <w:rPr>
          <w:rFonts w:ascii="標楷體" w:eastAsia="標楷體" w:hAnsi="標楷體" w:hint="eastAsia"/>
          <w:sz w:val="28"/>
          <w:szCs w:val="28"/>
        </w:rPr>
        <w:t>股長、科長</w:t>
      </w:r>
      <w:r w:rsidRPr="00362F59">
        <w:rPr>
          <w:rFonts w:ascii="標楷體" w:eastAsia="標楷體" w:hAnsi="標楷體" w:hint="eastAsia"/>
          <w:sz w:val="28"/>
          <w:szCs w:val="28"/>
        </w:rPr>
        <w:t>，應依下列條件與標準懲處：</w:t>
      </w:r>
    </w:p>
    <w:p w:rsidR="00781FDA" w:rsidRPr="00362F59" w:rsidRDefault="00781FDA" w:rsidP="00594E19">
      <w:pPr>
        <w:pStyle w:val="a3"/>
        <w:numPr>
          <w:ilvl w:val="0"/>
          <w:numId w:val="11"/>
        </w:numPr>
        <w:spacing w:line="480" w:lineRule="exact"/>
        <w:ind w:leftChars="0" w:left="851"/>
        <w:jc w:val="both"/>
        <w:rPr>
          <w:rFonts w:ascii="標楷體" w:eastAsia="標楷體" w:hAnsi="標楷體"/>
          <w:sz w:val="28"/>
          <w:szCs w:val="28"/>
        </w:rPr>
      </w:pPr>
      <w:r w:rsidRPr="00362F59">
        <w:rPr>
          <w:rFonts w:ascii="標楷體" w:eastAsia="標楷體" w:hAnsi="標楷體" w:hint="eastAsia"/>
          <w:sz w:val="28"/>
          <w:szCs w:val="28"/>
        </w:rPr>
        <w:t>承辦人員依所經辦案件在半年內如有下列情事累計達五件以上（含五件）應予申誡一次處分，達八件以上（含八件）應予申誡二次處分。</w:t>
      </w:r>
    </w:p>
    <w:p w:rsidR="00781FDA" w:rsidRPr="00362F59" w:rsidRDefault="00781FDA" w:rsidP="008E41F4">
      <w:pPr>
        <w:pStyle w:val="a3"/>
        <w:numPr>
          <w:ilvl w:val="0"/>
          <w:numId w:val="13"/>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凡合於「限制欠稅人</w:t>
      </w:r>
      <w:r w:rsidR="00FD5AC9">
        <w:rPr>
          <w:rFonts w:ascii="標楷體" w:eastAsia="標楷體" w:hAnsi="標楷體" w:hint="eastAsia"/>
          <w:sz w:val="28"/>
          <w:szCs w:val="28"/>
        </w:rPr>
        <w:t>或</w:t>
      </w:r>
      <w:r w:rsidRPr="00362F59">
        <w:rPr>
          <w:rFonts w:ascii="標楷體" w:eastAsia="標楷體" w:hAnsi="標楷體" w:hint="eastAsia"/>
          <w:sz w:val="28"/>
          <w:szCs w:val="28"/>
        </w:rPr>
        <w:t>欠稅營利事業負責人出境</w:t>
      </w:r>
      <w:r w:rsidR="00FD5AC9">
        <w:rPr>
          <w:rFonts w:ascii="標楷體" w:eastAsia="標楷體" w:hAnsi="標楷體" w:hint="eastAsia"/>
          <w:sz w:val="28"/>
          <w:szCs w:val="28"/>
        </w:rPr>
        <w:t>規</w:t>
      </w:r>
      <w:r w:rsidR="004731A6">
        <w:rPr>
          <w:rFonts w:ascii="標楷體" w:eastAsia="標楷體" w:hAnsi="標楷體" w:hint="eastAsia"/>
          <w:sz w:val="28"/>
          <w:szCs w:val="28"/>
        </w:rPr>
        <w:t>範</w:t>
      </w:r>
      <w:r w:rsidRPr="00362F59">
        <w:rPr>
          <w:rFonts w:ascii="標楷體" w:eastAsia="標楷體" w:hAnsi="標楷體" w:hint="eastAsia"/>
          <w:sz w:val="28"/>
          <w:szCs w:val="28"/>
        </w:rPr>
        <w:t>」第二</w:t>
      </w:r>
      <w:r w:rsidR="004731A6">
        <w:rPr>
          <w:rFonts w:ascii="標楷體" w:eastAsia="標楷體" w:hAnsi="標楷體" w:hint="eastAsia"/>
          <w:sz w:val="28"/>
          <w:szCs w:val="28"/>
        </w:rPr>
        <w:t>點</w:t>
      </w:r>
      <w:r w:rsidRPr="00362F59">
        <w:rPr>
          <w:rFonts w:ascii="標楷體" w:eastAsia="標楷體" w:hAnsi="標楷體" w:hint="eastAsia"/>
          <w:sz w:val="28"/>
          <w:szCs w:val="28"/>
        </w:rPr>
        <w:t>、第五</w:t>
      </w:r>
      <w:r w:rsidR="004731A6">
        <w:rPr>
          <w:rFonts w:ascii="標楷體" w:eastAsia="標楷體" w:hAnsi="標楷體" w:hint="eastAsia"/>
          <w:sz w:val="28"/>
          <w:szCs w:val="28"/>
        </w:rPr>
        <w:t>點</w:t>
      </w:r>
      <w:r w:rsidRPr="00362F59">
        <w:rPr>
          <w:rFonts w:ascii="標楷體" w:eastAsia="標楷體" w:hAnsi="標楷體" w:hint="eastAsia"/>
          <w:sz w:val="28"/>
          <w:szCs w:val="28"/>
        </w:rPr>
        <w:t>規</w:t>
      </w:r>
      <w:r w:rsidRPr="00362F59">
        <w:rPr>
          <w:rFonts w:ascii="標楷體" w:eastAsia="標楷體" w:hAnsi="標楷體" w:hint="eastAsia"/>
          <w:sz w:val="28"/>
          <w:szCs w:val="28"/>
        </w:rPr>
        <w:lastRenderedPageBreak/>
        <w:t>定案件，未依「徵課管理作業手冊」之規定延誤函報財政部核轉內政部入出國及移民署限制出境或解除出境限制者。</w:t>
      </w:r>
    </w:p>
    <w:p w:rsidR="00781FDA" w:rsidRPr="00362F59" w:rsidRDefault="00781FDA" w:rsidP="008E41F4">
      <w:pPr>
        <w:pStyle w:val="a3"/>
        <w:numPr>
          <w:ilvl w:val="0"/>
          <w:numId w:val="13"/>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未依規定或延誤辦理欠稅人財產禁止處分登記者。</w:t>
      </w:r>
    </w:p>
    <w:p w:rsidR="00781FDA" w:rsidRPr="00362F59" w:rsidRDefault="00781FDA" w:rsidP="008E41F4">
      <w:pPr>
        <w:pStyle w:val="a3"/>
        <w:numPr>
          <w:ilvl w:val="0"/>
          <w:numId w:val="13"/>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未依「徵課管理作業手冊」之規定清理執行憑證，辦理欠稅人</w:t>
      </w:r>
      <w:r w:rsidRPr="00362F59">
        <w:rPr>
          <w:rFonts w:ascii="標楷體" w:eastAsia="標楷體" w:hAnsi="標楷體"/>
          <w:sz w:val="28"/>
          <w:szCs w:val="28"/>
        </w:rPr>
        <w:t xml:space="preserve"> </w:t>
      </w:r>
      <w:r w:rsidRPr="00362F59">
        <w:rPr>
          <w:rFonts w:ascii="標楷體" w:eastAsia="標楷體" w:hAnsi="標楷體" w:hint="eastAsia"/>
          <w:sz w:val="28"/>
          <w:szCs w:val="28"/>
        </w:rPr>
        <w:t>經濟狀況調查及調查不實者。</w:t>
      </w:r>
    </w:p>
    <w:p w:rsidR="00781FDA" w:rsidRPr="00362F59" w:rsidRDefault="00781FDA" w:rsidP="008E41F4">
      <w:pPr>
        <w:pStyle w:val="a3"/>
        <w:numPr>
          <w:ilvl w:val="0"/>
          <w:numId w:val="13"/>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鉅額欠稅案件未辦理專案移送者。</w:t>
      </w:r>
    </w:p>
    <w:p w:rsidR="00781FDA" w:rsidRPr="00362F59" w:rsidRDefault="00781FDA" w:rsidP="008E41F4">
      <w:pPr>
        <w:pStyle w:val="a3"/>
        <w:numPr>
          <w:ilvl w:val="0"/>
          <w:numId w:val="13"/>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逾越徵收期之欠稅案件未依規定辦理註銷者。</w:t>
      </w:r>
    </w:p>
    <w:p w:rsidR="00781FDA" w:rsidRPr="00362F59" w:rsidRDefault="00781FDA" w:rsidP="008E41F4">
      <w:pPr>
        <w:pStyle w:val="a3"/>
        <w:numPr>
          <w:ilvl w:val="0"/>
          <w:numId w:val="13"/>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疏於注意致未申報租稅債權參與債權分配者。</w:t>
      </w:r>
    </w:p>
    <w:p w:rsidR="00781FDA" w:rsidRPr="00362F59" w:rsidRDefault="00781FDA" w:rsidP="00594E19">
      <w:pPr>
        <w:pStyle w:val="a3"/>
        <w:numPr>
          <w:ilvl w:val="0"/>
          <w:numId w:val="11"/>
        </w:numPr>
        <w:spacing w:line="480" w:lineRule="exact"/>
        <w:ind w:leftChars="0" w:left="851"/>
        <w:jc w:val="both"/>
        <w:rPr>
          <w:rFonts w:ascii="標楷體" w:eastAsia="標楷體" w:hAnsi="標楷體"/>
          <w:sz w:val="28"/>
          <w:szCs w:val="28"/>
        </w:rPr>
      </w:pPr>
      <w:r w:rsidRPr="00362F59">
        <w:rPr>
          <w:rFonts w:ascii="標楷體" w:eastAsia="標楷體" w:hAnsi="標楷體" w:hint="eastAsia"/>
          <w:sz w:val="28"/>
          <w:szCs w:val="28"/>
        </w:rPr>
        <w:t>承辦人員所經辦案件在半年內如有下列情事累計達三件以上（含三件）應予記過一次處分，未達三件者申誡一次處分。</w:t>
      </w:r>
    </w:p>
    <w:p w:rsidR="00781FDA" w:rsidRPr="00362F59" w:rsidRDefault="00781FDA" w:rsidP="008E41F4">
      <w:pPr>
        <w:pStyle w:val="a3"/>
        <w:numPr>
          <w:ilvl w:val="0"/>
          <w:numId w:val="14"/>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凡合於「限制欠稅人及欠稅營利事業負責人出境辦法」第二條、第五條規定案件，未依「徵課管理作業手冊」之規定，延誤</w:t>
      </w:r>
      <w:r w:rsidRPr="00362F59">
        <w:rPr>
          <w:rFonts w:ascii="標楷體" w:eastAsia="標楷體" w:hAnsi="標楷體"/>
          <w:sz w:val="28"/>
          <w:szCs w:val="28"/>
        </w:rPr>
        <w:t xml:space="preserve"> </w:t>
      </w:r>
      <w:r w:rsidRPr="00362F59">
        <w:rPr>
          <w:rFonts w:ascii="標楷體" w:eastAsia="標楷體" w:hAnsi="標楷體" w:hint="eastAsia"/>
          <w:sz w:val="28"/>
          <w:szCs w:val="28"/>
        </w:rPr>
        <w:t>函報財政部核轉內政部入出國及移民署限制出境致欠稅人出境</w:t>
      </w:r>
      <w:r w:rsidRPr="00362F59">
        <w:rPr>
          <w:rFonts w:ascii="標楷體" w:eastAsia="標楷體" w:hAnsi="標楷體"/>
          <w:sz w:val="28"/>
          <w:szCs w:val="28"/>
        </w:rPr>
        <w:t xml:space="preserve"> </w:t>
      </w:r>
      <w:r w:rsidRPr="00362F59">
        <w:rPr>
          <w:rFonts w:ascii="標楷體" w:eastAsia="標楷體" w:hAnsi="標楷體" w:hint="eastAsia"/>
          <w:sz w:val="28"/>
          <w:szCs w:val="28"/>
        </w:rPr>
        <w:t>或未依規定解除出境限制致影響納稅人權益者。</w:t>
      </w:r>
    </w:p>
    <w:p w:rsidR="00781FDA" w:rsidRPr="00362F59" w:rsidRDefault="00781FDA" w:rsidP="008E41F4">
      <w:pPr>
        <w:pStyle w:val="a3"/>
        <w:numPr>
          <w:ilvl w:val="0"/>
          <w:numId w:val="14"/>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未依規定或延誤辦理欠稅人財產禁止處分登記致欠稅人移轉財產造成庫收損失者。</w:t>
      </w:r>
    </w:p>
    <w:p w:rsidR="00781FDA" w:rsidRPr="00362F59" w:rsidRDefault="00781FDA" w:rsidP="008E41F4">
      <w:pPr>
        <w:pStyle w:val="a3"/>
        <w:numPr>
          <w:ilvl w:val="0"/>
          <w:numId w:val="14"/>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欠稅金額超過二十萬元以上之執行憑證如欠稅人已有不動產或繳納能力，但因調查不實有所疏漏者。</w:t>
      </w:r>
    </w:p>
    <w:p w:rsidR="00781FDA" w:rsidRPr="00362F59" w:rsidRDefault="00781FDA" w:rsidP="008E41F4">
      <w:pPr>
        <w:pStyle w:val="a3"/>
        <w:numPr>
          <w:ilvl w:val="0"/>
          <w:numId w:val="14"/>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鉅額欠稅案件未辦理專案移送致欠稅無法執行造成庫收損失者。</w:t>
      </w:r>
    </w:p>
    <w:p w:rsidR="00781FDA" w:rsidRPr="00362F59" w:rsidRDefault="00781FDA" w:rsidP="008E41F4">
      <w:pPr>
        <w:pStyle w:val="a3"/>
        <w:numPr>
          <w:ilvl w:val="0"/>
          <w:numId w:val="14"/>
        </w:numPr>
        <w:spacing w:line="480" w:lineRule="exact"/>
        <w:ind w:leftChars="0"/>
        <w:jc w:val="both"/>
        <w:rPr>
          <w:rFonts w:ascii="標楷體" w:eastAsia="標楷體" w:hAnsi="標楷體"/>
          <w:sz w:val="28"/>
          <w:szCs w:val="28"/>
        </w:rPr>
      </w:pPr>
      <w:r w:rsidRPr="00362F59">
        <w:rPr>
          <w:rFonts w:ascii="標楷體" w:eastAsia="標楷體" w:hAnsi="標楷體" w:hint="eastAsia"/>
          <w:sz w:val="28"/>
          <w:szCs w:val="28"/>
        </w:rPr>
        <w:t>疏於注意致未申報租稅債權參與債權分配之欠稅金額（債權）超過二十萬元以上者。</w:t>
      </w:r>
    </w:p>
    <w:p w:rsidR="00781FDA" w:rsidRPr="00362F59" w:rsidRDefault="00781FDA" w:rsidP="00594E19">
      <w:pPr>
        <w:pStyle w:val="a3"/>
        <w:numPr>
          <w:ilvl w:val="0"/>
          <w:numId w:val="11"/>
        </w:numPr>
        <w:spacing w:line="480" w:lineRule="exact"/>
        <w:ind w:leftChars="0" w:left="851"/>
        <w:jc w:val="both"/>
        <w:rPr>
          <w:rFonts w:ascii="標楷體" w:eastAsia="標楷體" w:hAnsi="標楷體"/>
          <w:sz w:val="28"/>
          <w:szCs w:val="28"/>
        </w:rPr>
      </w:pPr>
      <w:r>
        <w:rPr>
          <w:rFonts w:ascii="標楷體" w:eastAsia="標楷體" w:hAnsi="標楷體" w:hint="eastAsia"/>
          <w:sz w:val="28"/>
          <w:szCs w:val="28"/>
        </w:rPr>
        <w:t>股長、科長</w:t>
      </w:r>
      <w:r w:rsidRPr="00362F59">
        <w:rPr>
          <w:rFonts w:ascii="標楷體" w:eastAsia="標楷體" w:hAnsi="標楷體" w:hint="eastAsia"/>
          <w:sz w:val="28"/>
          <w:szCs w:val="28"/>
        </w:rPr>
        <w:t>半年內其所屬經辦人員受處分者，如有下列情事應連帶處分：</w:t>
      </w:r>
    </w:p>
    <w:p w:rsidR="00781FDA" w:rsidRPr="00362F59" w:rsidRDefault="00781FDA" w:rsidP="00594E19">
      <w:pPr>
        <w:pStyle w:val="a3"/>
        <w:numPr>
          <w:ilvl w:val="0"/>
          <w:numId w:val="15"/>
        </w:numPr>
        <w:tabs>
          <w:tab w:val="left" w:pos="1276"/>
        </w:tabs>
        <w:spacing w:line="480" w:lineRule="exact"/>
        <w:ind w:leftChars="0" w:left="1276" w:hanging="283"/>
        <w:jc w:val="both"/>
        <w:rPr>
          <w:rFonts w:ascii="標楷體" w:eastAsia="標楷體" w:hAnsi="標楷體"/>
          <w:sz w:val="28"/>
          <w:szCs w:val="28"/>
        </w:rPr>
      </w:pPr>
      <w:r w:rsidRPr="00362F59">
        <w:rPr>
          <w:rFonts w:ascii="標楷體" w:eastAsia="標楷體" w:hAnsi="標楷體" w:hint="eastAsia"/>
          <w:sz w:val="28"/>
          <w:szCs w:val="28"/>
        </w:rPr>
        <w:t>所屬經辦人員有二人次以上受申誡處分或其中一人次受記過處分應予連帶申誡一次處分。</w:t>
      </w:r>
    </w:p>
    <w:p w:rsidR="00781FDA" w:rsidRPr="00362F59" w:rsidRDefault="00781FDA" w:rsidP="00594E19">
      <w:pPr>
        <w:pStyle w:val="a3"/>
        <w:numPr>
          <w:ilvl w:val="0"/>
          <w:numId w:val="15"/>
        </w:numPr>
        <w:tabs>
          <w:tab w:val="left" w:pos="993"/>
        </w:tabs>
        <w:spacing w:line="480" w:lineRule="exact"/>
        <w:ind w:leftChars="0" w:firstLine="33"/>
        <w:jc w:val="both"/>
        <w:rPr>
          <w:rFonts w:ascii="標楷體" w:eastAsia="標楷體" w:hAnsi="標楷體"/>
          <w:sz w:val="28"/>
          <w:szCs w:val="28"/>
        </w:rPr>
      </w:pPr>
      <w:r w:rsidRPr="00362F59">
        <w:rPr>
          <w:rFonts w:ascii="標楷體" w:eastAsia="標楷體" w:hAnsi="標楷體" w:hint="eastAsia"/>
          <w:sz w:val="28"/>
          <w:szCs w:val="28"/>
        </w:rPr>
        <w:t>所屬經辦人員有二人次以上受記過處分應予連帶記過一次處分。</w:t>
      </w:r>
    </w:p>
    <w:p w:rsidR="00781FDA" w:rsidRPr="00362F59" w:rsidRDefault="00781FDA" w:rsidP="00594E19">
      <w:pPr>
        <w:pStyle w:val="a3"/>
        <w:numPr>
          <w:ilvl w:val="0"/>
          <w:numId w:val="1"/>
        </w:numPr>
        <w:tabs>
          <w:tab w:val="left" w:pos="709"/>
        </w:tabs>
        <w:spacing w:line="480" w:lineRule="exact"/>
        <w:ind w:leftChars="0" w:left="709" w:hanging="709"/>
        <w:jc w:val="both"/>
        <w:rPr>
          <w:rFonts w:ascii="標楷體" w:eastAsia="標楷體" w:hAnsi="標楷體"/>
          <w:sz w:val="28"/>
          <w:szCs w:val="28"/>
        </w:rPr>
      </w:pPr>
      <w:r w:rsidRPr="00362F59">
        <w:rPr>
          <w:rFonts w:ascii="標楷體" w:eastAsia="標楷體" w:hAnsi="標楷體" w:hint="eastAsia"/>
          <w:sz w:val="28"/>
          <w:szCs w:val="28"/>
        </w:rPr>
        <w:t>依據本審核要點辦理專案獎懲之案件，其中敘獎部分應詳述執行經過情形及有關人員在執行過程當中所擔任之工作（並檢附具體事證資料、行政執行案件移送書、繳納收據、簽報敘獎之文書等影本</w:t>
      </w:r>
      <w:r w:rsidRPr="00362F59">
        <w:rPr>
          <w:rFonts w:ascii="標楷體" w:eastAsia="標楷體" w:hAnsi="標楷體"/>
          <w:sz w:val="28"/>
          <w:szCs w:val="28"/>
        </w:rPr>
        <w:t>......</w:t>
      </w:r>
      <w:r w:rsidRPr="00362F59">
        <w:rPr>
          <w:rFonts w:ascii="標楷體" w:eastAsia="標楷體" w:hAnsi="標楷體" w:hint="eastAsia"/>
          <w:sz w:val="28"/>
          <w:szCs w:val="28"/>
        </w:rPr>
        <w:t>），懲處部分並應比照敘獎方式將該案各階段處理時間及延誤情形責任歸屬詳述作為審查之依據。</w:t>
      </w:r>
    </w:p>
    <w:p w:rsidR="00781FDA" w:rsidRPr="00362F59" w:rsidRDefault="00781FDA" w:rsidP="00594E19">
      <w:pPr>
        <w:pStyle w:val="a3"/>
        <w:numPr>
          <w:ilvl w:val="0"/>
          <w:numId w:val="1"/>
        </w:numPr>
        <w:tabs>
          <w:tab w:val="left" w:pos="709"/>
        </w:tabs>
        <w:spacing w:line="480" w:lineRule="exact"/>
        <w:ind w:leftChars="0" w:left="709" w:hanging="709"/>
        <w:jc w:val="both"/>
        <w:rPr>
          <w:rFonts w:ascii="標楷體" w:eastAsia="標楷體" w:hAnsi="標楷體"/>
          <w:sz w:val="28"/>
          <w:szCs w:val="28"/>
        </w:rPr>
      </w:pPr>
      <w:r w:rsidRPr="00362F59">
        <w:rPr>
          <w:rFonts w:ascii="標楷體" w:eastAsia="標楷體" w:hAnsi="標楷體" w:hint="eastAsia"/>
          <w:sz w:val="28"/>
          <w:szCs w:val="28"/>
        </w:rPr>
        <w:t>凡符合報請敘獎案件，承辦人應於稅款徵起之日起六個月內簽報，並於簽報之日為準，逾期不予受理</w:t>
      </w:r>
      <w:r>
        <w:rPr>
          <w:rFonts w:ascii="標楷體" w:eastAsia="標楷體" w:hAnsi="標楷體" w:hint="eastAsia"/>
          <w:sz w:val="28"/>
          <w:szCs w:val="28"/>
        </w:rPr>
        <w:t>。</w:t>
      </w:r>
    </w:p>
    <w:p w:rsidR="00781FDA" w:rsidRPr="00362F59" w:rsidRDefault="00781FDA" w:rsidP="00594E19">
      <w:pPr>
        <w:pStyle w:val="a3"/>
        <w:numPr>
          <w:ilvl w:val="0"/>
          <w:numId w:val="1"/>
        </w:numPr>
        <w:tabs>
          <w:tab w:val="left" w:pos="709"/>
        </w:tabs>
        <w:spacing w:line="480" w:lineRule="exact"/>
        <w:ind w:leftChars="0" w:left="709" w:hanging="709"/>
        <w:jc w:val="both"/>
        <w:rPr>
          <w:rFonts w:ascii="標楷體" w:eastAsia="標楷體" w:hAnsi="標楷體"/>
          <w:sz w:val="28"/>
          <w:szCs w:val="28"/>
        </w:rPr>
      </w:pPr>
      <w:r w:rsidRPr="00362F59">
        <w:rPr>
          <w:rFonts w:ascii="標楷體" w:eastAsia="標楷體" w:hAnsi="標楷體" w:hint="eastAsia"/>
          <w:sz w:val="28"/>
          <w:szCs w:val="28"/>
        </w:rPr>
        <w:t>承辦人員違反第</w:t>
      </w:r>
      <w:r w:rsidR="004731A6">
        <w:rPr>
          <w:rFonts w:ascii="標楷體" w:eastAsia="標楷體" w:hAnsi="標楷體" w:hint="eastAsia"/>
          <w:sz w:val="28"/>
          <w:szCs w:val="28"/>
        </w:rPr>
        <w:t>六</w:t>
      </w:r>
      <w:r w:rsidRPr="00362F59">
        <w:rPr>
          <w:rFonts w:ascii="標楷體" w:eastAsia="標楷體" w:hAnsi="標楷體" w:hint="eastAsia"/>
          <w:sz w:val="28"/>
          <w:szCs w:val="28"/>
        </w:rPr>
        <w:t>點第一款及第二款各目規定情事者，檢查人員應設專簿列管登</w:t>
      </w:r>
      <w:r w:rsidRPr="00362F59">
        <w:rPr>
          <w:rFonts w:ascii="標楷體" w:eastAsia="標楷體" w:hAnsi="標楷體" w:hint="eastAsia"/>
          <w:sz w:val="28"/>
          <w:szCs w:val="28"/>
        </w:rPr>
        <w:lastRenderedPageBreak/>
        <w:t>記，已達到處分標準者及股長已符合第</w:t>
      </w:r>
      <w:r w:rsidR="004731A6">
        <w:rPr>
          <w:rFonts w:ascii="標楷體" w:eastAsia="標楷體" w:hAnsi="標楷體" w:hint="eastAsia"/>
          <w:sz w:val="28"/>
          <w:szCs w:val="28"/>
        </w:rPr>
        <w:t>六</w:t>
      </w:r>
      <w:r w:rsidRPr="00362F59">
        <w:rPr>
          <w:rFonts w:ascii="標楷體" w:eastAsia="標楷體" w:hAnsi="標楷體" w:hint="eastAsia"/>
          <w:sz w:val="28"/>
          <w:szCs w:val="28"/>
        </w:rPr>
        <w:t>點第三款各目規定應予處分時，應由其直屬長官負責簽報議處，至於科長如符合第</w:t>
      </w:r>
      <w:r w:rsidR="004731A6">
        <w:rPr>
          <w:rFonts w:ascii="標楷體" w:eastAsia="標楷體" w:hAnsi="標楷體" w:hint="eastAsia"/>
          <w:sz w:val="28"/>
          <w:szCs w:val="28"/>
        </w:rPr>
        <w:t>六</w:t>
      </w:r>
      <w:r w:rsidRPr="00362F59">
        <w:rPr>
          <w:rFonts w:ascii="標楷體" w:eastAsia="標楷體" w:hAnsi="標楷體" w:hint="eastAsia"/>
          <w:sz w:val="28"/>
          <w:szCs w:val="28"/>
        </w:rPr>
        <w:t>點第三款各目規定應予處分時，由局長責成人事單位簽報議處。</w:t>
      </w:r>
    </w:p>
    <w:sectPr w:rsidR="00781FDA" w:rsidRPr="00362F59" w:rsidSect="00A84C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BCE" w:rsidRDefault="00117BCE" w:rsidP="00A034F0">
      <w:r>
        <w:separator/>
      </w:r>
    </w:p>
  </w:endnote>
  <w:endnote w:type="continuationSeparator" w:id="0">
    <w:p w:rsidR="00117BCE" w:rsidRDefault="00117BCE" w:rsidP="00A0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BCE" w:rsidRDefault="00117BCE" w:rsidP="00A034F0">
      <w:r>
        <w:separator/>
      </w:r>
    </w:p>
  </w:footnote>
  <w:footnote w:type="continuationSeparator" w:id="0">
    <w:p w:rsidR="00117BCE" w:rsidRDefault="00117BCE" w:rsidP="00A03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962"/>
    <w:multiLevelType w:val="hybridMultilevel"/>
    <w:tmpl w:val="9040843C"/>
    <w:lvl w:ilvl="0" w:tplc="B8F886A2">
      <w:start w:val="1"/>
      <w:numFmt w:val="taiwaneseCountingThousand"/>
      <w:lvlText w:val="%1、"/>
      <w:lvlJc w:val="left"/>
      <w:pPr>
        <w:ind w:left="930" w:hanging="45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2B45D90"/>
    <w:multiLevelType w:val="hybridMultilevel"/>
    <w:tmpl w:val="01DCD58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 w15:restartNumberingAfterBreak="0">
    <w:nsid w:val="09301D43"/>
    <w:multiLevelType w:val="hybridMultilevel"/>
    <w:tmpl w:val="9D5681EC"/>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DFF2296"/>
    <w:multiLevelType w:val="hybridMultilevel"/>
    <w:tmpl w:val="25CA39D0"/>
    <w:lvl w:ilvl="0" w:tplc="D4287CE0">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0F13092F"/>
    <w:multiLevelType w:val="hybridMultilevel"/>
    <w:tmpl w:val="32B815D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5E05717"/>
    <w:multiLevelType w:val="hybridMultilevel"/>
    <w:tmpl w:val="C78CDCB0"/>
    <w:lvl w:ilvl="0" w:tplc="AFA26B4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D0878DB"/>
    <w:multiLevelType w:val="hybridMultilevel"/>
    <w:tmpl w:val="241EDE9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 w15:restartNumberingAfterBreak="0">
    <w:nsid w:val="33004724"/>
    <w:multiLevelType w:val="hybridMultilevel"/>
    <w:tmpl w:val="C8D40E7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3E9D5E59"/>
    <w:multiLevelType w:val="hybridMultilevel"/>
    <w:tmpl w:val="6BAAF3E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15:restartNumberingAfterBreak="0">
    <w:nsid w:val="433F7DB2"/>
    <w:multiLevelType w:val="hybridMultilevel"/>
    <w:tmpl w:val="34F28618"/>
    <w:lvl w:ilvl="0" w:tplc="D4287CE0">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528C098C"/>
    <w:multiLevelType w:val="multilevel"/>
    <w:tmpl w:val="C8D40E7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58DD6436"/>
    <w:multiLevelType w:val="hybridMultilevel"/>
    <w:tmpl w:val="9D5681EC"/>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58EE6E23"/>
    <w:multiLevelType w:val="hybridMultilevel"/>
    <w:tmpl w:val="8FA2AF6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5ADB4962"/>
    <w:multiLevelType w:val="hybridMultilevel"/>
    <w:tmpl w:val="FC666AA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61055428"/>
    <w:multiLevelType w:val="hybridMultilevel"/>
    <w:tmpl w:val="72C8D9F6"/>
    <w:lvl w:ilvl="0" w:tplc="FB1C2CD2">
      <w:start w:val="1"/>
      <w:numFmt w:val="decimal"/>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5" w15:restartNumberingAfterBreak="0">
    <w:nsid w:val="61B23172"/>
    <w:multiLevelType w:val="hybridMultilevel"/>
    <w:tmpl w:val="C3B47DA0"/>
    <w:lvl w:ilvl="0" w:tplc="FB1C2CD2">
      <w:start w:val="1"/>
      <w:numFmt w:val="decimal"/>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6" w15:restartNumberingAfterBreak="0">
    <w:nsid w:val="623E2B60"/>
    <w:multiLevelType w:val="hybridMultilevel"/>
    <w:tmpl w:val="5778E864"/>
    <w:lvl w:ilvl="0" w:tplc="D4287CE0">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298" w:hanging="480"/>
      </w:pPr>
      <w:rPr>
        <w:rFonts w:cs="Times New Roman"/>
      </w:rPr>
    </w:lvl>
    <w:lvl w:ilvl="2" w:tplc="0409001B" w:tentative="1">
      <w:start w:val="1"/>
      <w:numFmt w:val="lowerRoman"/>
      <w:lvlText w:val="%3."/>
      <w:lvlJc w:val="right"/>
      <w:pPr>
        <w:ind w:left="1778" w:hanging="480"/>
      </w:pPr>
      <w:rPr>
        <w:rFonts w:cs="Times New Roman"/>
      </w:rPr>
    </w:lvl>
    <w:lvl w:ilvl="3" w:tplc="0409000F" w:tentative="1">
      <w:start w:val="1"/>
      <w:numFmt w:val="decimal"/>
      <w:lvlText w:val="%4."/>
      <w:lvlJc w:val="left"/>
      <w:pPr>
        <w:ind w:left="2258" w:hanging="480"/>
      </w:pPr>
      <w:rPr>
        <w:rFonts w:cs="Times New Roman"/>
      </w:rPr>
    </w:lvl>
    <w:lvl w:ilvl="4" w:tplc="04090019" w:tentative="1">
      <w:start w:val="1"/>
      <w:numFmt w:val="ideographTraditional"/>
      <w:lvlText w:val="%5、"/>
      <w:lvlJc w:val="left"/>
      <w:pPr>
        <w:ind w:left="2738" w:hanging="480"/>
      </w:pPr>
      <w:rPr>
        <w:rFonts w:cs="Times New Roman"/>
      </w:rPr>
    </w:lvl>
    <w:lvl w:ilvl="5" w:tplc="0409001B" w:tentative="1">
      <w:start w:val="1"/>
      <w:numFmt w:val="lowerRoman"/>
      <w:lvlText w:val="%6."/>
      <w:lvlJc w:val="right"/>
      <w:pPr>
        <w:ind w:left="3218" w:hanging="480"/>
      </w:pPr>
      <w:rPr>
        <w:rFonts w:cs="Times New Roman"/>
      </w:rPr>
    </w:lvl>
    <w:lvl w:ilvl="6" w:tplc="0409000F" w:tentative="1">
      <w:start w:val="1"/>
      <w:numFmt w:val="decimal"/>
      <w:lvlText w:val="%7."/>
      <w:lvlJc w:val="left"/>
      <w:pPr>
        <w:ind w:left="3698" w:hanging="480"/>
      </w:pPr>
      <w:rPr>
        <w:rFonts w:cs="Times New Roman"/>
      </w:rPr>
    </w:lvl>
    <w:lvl w:ilvl="7" w:tplc="04090019" w:tentative="1">
      <w:start w:val="1"/>
      <w:numFmt w:val="ideographTraditional"/>
      <w:lvlText w:val="%8、"/>
      <w:lvlJc w:val="left"/>
      <w:pPr>
        <w:ind w:left="4178" w:hanging="480"/>
      </w:pPr>
      <w:rPr>
        <w:rFonts w:cs="Times New Roman"/>
      </w:rPr>
    </w:lvl>
    <w:lvl w:ilvl="8" w:tplc="0409001B" w:tentative="1">
      <w:start w:val="1"/>
      <w:numFmt w:val="lowerRoman"/>
      <w:lvlText w:val="%9."/>
      <w:lvlJc w:val="right"/>
      <w:pPr>
        <w:ind w:left="4658" w:hanging="480"/>
      </w:pPr>
      <w:rPr>
        <w:rFonts w:cs="Times New Roman"/>
      </w:rPr>
    </w:lvl>
  </w:abstractNum>
  <w:abstractNum w:abstractNumId="17" w15:restartNumberingAfterBreak="0">
    <w:nsid w:val="672E2FDF"/>
    <w:multiLevelType w:val="hybridMultilevel"/>
    <w:tmpl w:val="64F45790"/>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722E2E38"/>
    <w:multiLevelType w:val="hybridMultilevel"/>
    <w:tmpl w:val="34F28618"/>
    <w:lvl w:ilvl="0" w:tplc="D4287CE0">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7B7C04D7"/>
    <w:multiLevelType w:val="hybridMultilevel"/>
    <w:tmpl w:val="91FE2A1E"/>
    <w:lvl w:ilvl="0" w:tplc="D4287CE0">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4"/>
  </w:num>
  <w:num w:numId="2">
    <w:abstractNumId w:val="0"/>
  </w:num>
  <w:num w:numId="3">
    <w:abstractNumId w:val="16"/>
  </w:num>
  <w:num w:numId="4">
    <w:abstractNumId w:val="3"/>
  </w:num>
  <w:num w:numId="5">
    <w:abstractNumId w:val="18"/>
  </w:num>
  <w:num w:numId="6">
    <w:abstractNumId w:val="1"/>
  </w:num>
  <w:num w:numId="7">
    <w:abstractNumId w:val="14"/>
  </w:num>
  <w:num w:numId="8">
    <w:abstractNumId w:val="15"/>
  </w:num>
  <w:num w:numId="9">
    <w:abstractNumId w:val="17"/>
  </w:num>
  <w:num w:numId="10">
    <w:abstractNumId w:val="9"/>
  </w:num>
  <w:num w:numId="11">
    <w:abstractNumId w:val="19"/>
  </w:num>
  <w:num w:numId="12">
    <w:abstractNumId w:val="5"/>
  </w:num>
  <w:num w:numId="13">
    <w:abstractNumId w:val="6"/>
  </w:num>
  <w:num w:numId="14">
    <w:abstractNumId w:val="8"/>
  </w:num>
  <w:num w:numId="15">
    <w:abstractNumId w:val="13"/>
  </w:num>
  <w:num w:numId="16">
    <w:abstractNumId w:val="2"/>
  </w:num>
  <w:num w:numId="17">
    <w:abstractNumId w:val="12"/>
  </w:num>
  <w:num w:numId="18">
    <w:abstractNumId w:val="11"/>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CB0"/>
    <w:rsid w:val="00117BCE"/>
    <w:rsid w:val="00190829"/>
    <w:rsid w:val="001A7AC7"/>
    <w:rsid w:val="002039CF"/>
    <w:rsid w:val="00315E15"/>
    <w:rsid w:val="00362F59"/>
    <w:rsid w:val="00374A41"/>
    <w:rsid w:val="003C3A37"/>
    <w:rsid w:val="003E3E38"/>
    <w:rsid w:val="00410AE3"/>
    <w:rsid w:val="00442C2E"/>
    <w:rsid w:val="004731A6"/>
    <w:rsid w:val="00594E19"/>
    <w:rsid w:val="0068140E"/>
    <w:rsid w:val="00781FDA"/>
    <w:rsid w:val="008E41F4"/>
    <w:rsid w:val="00905A67"/>
    <w:rsid w:val="00A034F0"/>
    <w:rsid w:val="00A84CB0"/>
    <w:rsid w:val="00AA310F"/>
    <w:rsid w:val="00AB312E"/>
    <w:rsid w:val="00B11DB2"/>
    <w:rsid w:val="00B75157"/>
    <w:rsid w:val="00BF69AE"/>
    <w:rsid w:val="00C15FE4"/>
    <w:rsid w:val="00D87654"/>
    <w:rsid w:val="00DC126A"/>
    <w:rsid w:val="00E12C7A"/>
    <w:rsid w:val="00E931FA"/>
    <w:rsid w:val="00EF1380"/>
    <w:rsid w:val="00F90FBD"/>
    <w:rsid w:val="00FD5A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25E844"/>
  <w15:docId w15:val="{0F426692-C8C9-4AA2-9098-A75070C8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38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84CB0"/>
    <w:pPr>
      <w:ind w:leftChars="200" w:left="480"/>
    </w:pPr>
  </w:style>
  <w:style w:type="paragraph" w:styleId="a4">
    <w:name w:val="Balloon Text"/>
    <w:basedOn w:val="a"/>
    <w:link w:val="a5"/>
    <w:uiPriority w:val="99"/>
    <w:semiHidden/>
    <w:rsid w:val="00362F59"/>
    <w:rPr>
      <w:rFonts w:ascii="Calibri Light" w:hAnsi="Calibri Light"/>
      <w:sz w:val="18"/>
      <w:szCs w:val="18"/>
    </w:rPr>
  </w:style>
  <w:style w:type="character" w:customStyle="1" w:styleId="a5">
    <w:name w:val="註解方塊文字 字元"/>
    <w:link w:val="a4"/>
    <w:uiPriority w:val="99"/>
    <w:semiHidden/>
    <w:locked/>
    <w:rsid w:val="00362F59"/>
    <w:rPr>
      <w:rFonts w:ascii="Calibri Light" w:eastAsia="新細明體" w:hAnsi="Calibri Light" w:cs="Times New Roman"/>
      <w:sz w:val="18"/>
      <w:szCs w:val="18"/>
    </w:rPr>
  </w:style>
  <w:style w:type="paragraph" w:styleId="a6">
    <w:name w:val="header"/>
    <w:basedOn w:val="a"/>
    <w:link w:val="a7"/>
    <w:uiPriority w:val="99"/>
    <w:unhideWhenUsed/>
    <w:rsid w:val="00A034F0"/>
    <w:pPr>
      <w:tabs>
        <w:tab w:val="center" w:pos="4153"/>
        <w:tab w:val="right" w:pos="8306"/>
      </w:tabs>
      <w:snapToGrid w:val="0"/>
    </w:pPr>
    <w:rPr>
      <w:sz w:val="20"/>
      <w:szCs w:val="20"/>
    </w:rPr>
  </w:style>
  <w:style w:type="character" w:customStyle="1" w:styleId="a7">
    <w:name w:val="頁首 字元"/>
    <w:link w:val="a6"/>
    <w:uiPriority w:val="99"/>
    <w:rsid w:val="00A034F0"/>
    <w:rPr>
      <w:sz w:val="20"/>
      <w:szCs w:val="20"/>
    </w:rPr>
  </w:style>
  <w:style w:type="paragraph" w:styleId="a8">
    <w:name w:val="footer"/>
    <w:basedOn w:val="a"/>
    <w:link w:val="a9"/>
    <w:uiPriority w:val="99"/>
    <w:unhideWhenUsed/>
    <w:rsid w:val="00A034F0"/>
    <w:pPr>
      <w:tabs>
        <w:tab w:val="center" w:pos="4153"/>
        <w:tab w:val="right" w:pos="8306"/>
      </w:tabs>
      <w:snapToGrid w:val="0"/>
    </w:pPr>
    <w:rPr>
      <w:sz w:val="20"/>
      <w:szCs w:val="20"/>
    </w:rPr>
  </w:style>
  <w:style w:type="character" w:customStyle="1" w:styleId="a9">
    <w:name w:val="頁尾 字元"/>
    <w:link w:val="a8"/>
    <w:uiPriority w:val="99"/>
    <w:rsid w:val="00A034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稅務管理科同仁</dc:creator>
  <cp:keywords/>
  <dc:description/>
  <cp:lastModifiedBy>稅務管理科同仁</cp:lastModifiedBy>
  <cp:revision>12</cp:revision>
  <cp:lastPrinted>2017-11-03T06:25:00Z</cp:lastPrinted>
  <dcterms:created xsi:type="dcterms:W3CDTF">2017-10-24T05:33:00Z</dcterms:created>
  <dcterms:modified xsi:type="dcterms:W3CDTF">2020-11-02T08:43:00Z</dcterms:modified>
</cp:coreProperties>
</file>